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A29DD" w14:textId="46B03ED7" w:rsidR="008B2AF8" w:rsidRPr="00E848B1" w:rsidRDefault="008B2AF8" w:rsidP="008B2AF8">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#126</w:t>
      </w:r>
      <w:r w:rsidRPr="00E848B1">
        <w:rPr>
          <w:rFonts w:ascii="Arial" w:hAnsi="Arial" w:cs="Arial"/>
          <w:b/>
          <w:sz w:val="24"/>
          <w:lang w:eastAsia="en-US"/>
        </w:rPr>
        <w:tab/>
      </w:r>
      <w:bookmarkEnd w:id="1"/>
      <w:r w:rsidR="00625F99" w:rsidRPr="00625F99">
        <w:rPr>
          <w:rFonts w:ascii="Arial" w:hAnsi="Arial" w:cs="Arial"/>
          <w:b/>
          <w:sz w:val="24"/>
          <w:lang w:eastAsia="en-US"/>
        </w:rPr>
        <w:t>R2-2405667</w:t>
      </w:r>
    </w:p>
    <w:p w14:paraId="73B4FD44" w14:textId="77777777" w:rsidR="008B2AF8" w:rsidRPr="00E848B1" w:rsidRDefault="008B2AF8" w:rsidP="008B2AF8">
      <w:pPr>
        <w:widowControl w:val="0"/>
        <w:tabs>
          <w:tab w:val="right" w:pos="9639"/>
        </w:tabs>
        <w:spacing w:after="0"/>
        <w:rPr>
          <w:rFonts w:ascii="Arial" w:hAnsi="Arial" w:cs="Arial"/>
          <w:b/>
          <w:sz w:val="24"/>
          <w:lang w:eastAsia="en-US"/>
        </w:rPr>
      </w:pPr>
      <w:bookmarkStart w:id="4" w:name="_Hlk163070749"/>
      <w:r w:rsidRPr="00E848B1">
        <w:rPr>
          <w:rFonts w:ascii="Arial" w:hAnsi="Arial" w:cs="Arial"/>
          <w:b/>
          <w:sz w:val="24"/>
          <w:lang w:eastAsia="en-US"/>
        </w:rPr>
        <w:t>Fukuoka, Japan, May 20 – 24, 2024</w:t>
      </w:r>
    </w:p>
    <w:bookmarkEnd w:id="4"/>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4757E68C"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ollection</w:t>
      </w:r>
      <w:r w:rsidR="007844DC">
        <w:rPr>
          <w:sz w:val="22"/>
          <w:szCs w:val="22"/>
        </w:rPr>
        <w:t xml:space="preserve"> for beam management use cases</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64120D70" w14:textId="788FEBEF" w:rsidR="007A0E7C" w:rsidRDefault="000C7F66" w:rsidP="00851805">
      <w:pPr>
        <w:pStyle w:val="BodyText"/>
      </w:pPr>
      <w:bookmarkStart w:id="5" w:name="_Ref178064866"/>
      <w:r>
        <w:t xml:space="preserve">The topic of NW-side data collection was discussed during the Rel.18 SI, and </w:t>
      </w:r>
      <w:r w:rsidR="00865936">
        <w:t>different technical en</w:t>
      </w:r>
      <w:r w:rsidR="00F56846">
        <w:t xml:space="preserve">hancements </w:t>
      </w:r>
      <w:r w:rsidR="004B5005">
        <w:t>to support this feature were included</w:t>
      </w:r>
      <w:r>
        <w:t xml:space="preserve"> in the TR 38.843. In this paper, we first provide an overview of the Rel.18 discussion, and </w:t>
      </w:r>
      <w:r w:rsidR="00AB29DC">
        <w:t xml:space="preserve">then we </w:t>
      </w:r>
      <w:r w:rsidR="00200761">
        <w:t>draw some proposals for the Rel.19 work item.</w:t>
      </w:r>
    </w:p>
    <w:p w14:paraId="151AA1AF" w14:textId="77777777" w:rsidR="00851805" w:rsidRDefault="00851805" w:rsidP="00CF57D0">
      <w:pPr>
        <w:pStyle w:val="Heading1"/>
        <w:ind w:left="567" w:hanging="567"/>
      </w:pPr>
      <w:r>
        <w:t>2</w:t>
      </w:r>
      <w:r>
        <w:tab/>
      </w:r>
      <w:r w:rsidRPr="00CE0424">
        <w:t>Discussion</w:t>
      </w:r>
      <w:bookmarkEnd w:id="5"/>
    </w:p>
    <w:p w14:paraId="5F72E0D0" w14:textId="5AA386CF" w:rsidR="001B4014" w:rsidRDefault="001B4014" w:rsidP="000D120F">
      <w:pPr>
        <w:pStyle w:val="BodyText"/>
      </w:pPr>
      <w:r>
        <w:t>During RAN</w:t>
      </w:r>
      <w:r w:rsidR="000F5F5C">
        <w:t xml:space="preserve">#125-bis, </w:t>
      </w:r>
      <w:r w:rsidR="0048487C">
        <w:t>related to the topic of NW-side data collection, the following agreements were reached:</w:t>
      </w:r>
    </w:p>
    <w:p w14:paraId="6657644F" w14:textId="77777777" w:rsidR="0048487C" w:rsidRDefault="0048487C" w:rsidP="000D120F">
      <w:pPr>
        <w:pStyle w:val="Doc-text2"/>
        <w:pBdr>
          <w:top w:val="single" w:sz="4" w:space="1" w:color="auto"/>
          <w:left w:val="single" w:sz="4" w:space="4" w:color="auto"/>
          <w:bottom w:val="single" w:sz="4" w:space="1" w:color="auto"/>
          <w:right w:val="single" w:sz="4" w:space="0" w:color="auto"/>
        </w:pBdr>
        <w:ind w:left="930"/>
        <w:rPr>
          <w:b/>
          <w:bCs/>
          <w:noProof/>
          <w:lang w:eastAsia="en-US"/>
        </w:rPr>
      </w:pPr>
      <w:r>
        <w:rPr>
          <w:b/>
          <w:bCs/>
          <w:noProof/>
        </w:rPr>
        <w:t>Agreements</w:t>
      </w:r>
    </w:p>
    <w:p w14:paraId="41B01207" w14:textId="77777777" w:rsidR="0048487C" w:rsidRDefault="0048487C" w:rsidP="000D120F">
      <w:pPr>
        <w:pStyle w:val="Doc-text2"/>
        <w:pBdr>
          <w:top w:val="single" w:sz="4" w:space="1" w:color="auto"/>
          <w:left w:val="single" w:sz="4" w:space="4" w:color="auto"/>
          <w:bottom w:val="single" w:sz="4" w:space="1" w:color="auto"/>
          <w:right w:val="single" w:sz="4" w:space="0" w:color="auto"/>
        </w:pBdr>
        <w:ind w:left="930"/>
        <w:rPr>
          <w:noProof/>
        </w:rPr>
      </w:pPr>
      <w:r>
        <w:rPr>
          <w:noProof/>
        </w:rPr>
        <w:t>1</w:t>
      </w:r>
      <w:r>
        <w:rPr>
          <w:noProof/>
        </w:rPr>
        <w:tab/>
        <w:t>For the NW-side data collection related to beam management use cases, RAN2 to consider gNB-centric and OAM-centric approaches</w:t>
      </w:r>
      <w:r>
        <w:rPr>
          <w:noProof/>
        </w:rPr>
        <w:tab/>
      </w:r>
    </w:p>
    <w:p w14:paraId="1AB05C87" w14:textId="77777777" w:rsidR="0048487C" w:rsidRDefault="0048487C" w:rsidP="000D120F">
      <w:pPr>
        <w:pStyle w:val="Doc-text2"/>
        <w:pBdr>
          <w:top w:val="single" w:sz="4" w:space="1" w:color="auto"/>
          <w:left w:val="single" w:sz="4" w:space="4" w:color="auto"/>
          <w:bottom w:val="single" w:sz="4" w:space="1" w:color="auto"/>
          <w:right w:val="single" w:sz="4" w:space="0" w:color="auto"/>
        </w:pBdr>
        <w:ind w:left="930"/>
        <w:rPr>
          <w:noProof/>
        </w:rPr>
      </w:pPr>
      <w:r>
        <w:rPr>
          <w:noProof/>
        </w:rPr>
        <w:t>2</w:t>
      </w:r>
      <w:r>
        <w:rPr>
          <w:noProof/>
        </w:rPr>
        <w:tab/>
        <w:t>We aim that the same measurement framework is applied to both gNB-centric data collection and OAM-centric data collection for NW-side data collection.</w:t>
      </w:r>
    </w:p>
    <w:p w14:paraId="7ADA738B" w14:textId="77777777" w:rsidR="0048487C" w:rsidRDefault="0048487C" w:rsidP="000D120F">
      <w:pPr>
        <w:pStyle w:val="Doc-text2"/>
        <w:pBdr>
          <w:top w:val="single" w:sz="4" w:space="1" w:color="auto"/>
          <w:left w:val="single" w:sz="4" w:space="4" w:color="auto"/>
          <w:bottom w:val="single" w:sz="4" w:space="1" w:color="auto"/>
          <w:right w:val="single" w:sz="4" w:space="0" w:color="auto"/>
        </w:pBdr>
        <w:ind w:left="930"/>
        <w:rPr>
          <w:noProof/>
        </w:rPr>
      </w:pPr>
      <w:r>
        <w:rPr>
          <w:noProof/>
        </w:rPr>
        <w:t>3</w:t>
      </w:r>
      <w:r>
        <w:rPr>
          <w:noProof/>
        </w:rPr>
        <w:tab/>
        <w:t>RAN2 supports enhancements to MDT for data collection framework for training.  FSS Whether to enhance logged or immediate MDT</w:t>
      </w:r>
    </w:p>
    <w:p w14:paraId="6E586A46" w14:textId="1DA1E228" w:rsidR="0048487C" w:rsidRDefault="0048487C" w:rsidP="001B4014">
      <w:pPr>
        <w:rPr>
          <w:i/>
          <w:noProof/>
          <w:sz w:val="18"/>
        </w:rPr>
      </w:pPr>
    </w:p>
    <w:p w14:paraId="6FC3E0C3" w14:textId="58E046AC" w:rsidR="0048487C" w:rsidRPr="0048487C" w:rsidRDefault="0048487C" w:rsidP="001B4014">
      <w:pPr>
        <w:rPr>
          <w:rFonts w:ascii="Arial" w:hAnsi="Arial"/>
          <w:lang w:eastAsia="zh-CN"/>
        </w:rPr>
      </w:pPr>
      <w:r w:rsidRPr="0048487C">
        <w:rPr>
          <w:rFonts w:ascii="Arial" w:hAnsi="Arial"/>
          <w:lang w:eastAsia="zh-CN"/>
        </w:rPr>
        <w:t>In the following, we further develop the expected technical impacts related to this topic, taking into account the above agreements and the online discuss</w:t>
      </w:r>
      <w:r w:rsidR="00937A16">
        <w:rPr>
          <w:rFonts w:ascii="Arial" w:hAnsi="Arial"/>
          <w:lang w:eastAsia="zh-CN"/>
        </w:rPr>
        <w:t>i</w:t>
      </w:r>
      <w:r w:rsidRPr="0048487C">
        <w:rPr>
          <w:rFonts w:ascii="Arial" w:hAnsi="Arial"/>
          <w:lang w:eastAsia="zh-CN"/>
        </w:rPr>
        <w:t>on during the last meeting.</w:t>
      </w:r>
    </w:p>
    <w:p w14:paraId="3F26CA51" w14:textId="0055893A" w:rsidR="00701B1B" w:rsidRDefault="00701B1B" w:rsidP="00701B1B">
      <w:pPr>
        <w:pStyle w:val="Heading2"/>
      </w:pPr>
      <w:r>
        <w:t xml:space="preserve">2.1 Beam </w:t>
      </w:r>
      <w:r w:rsidR="00735020">
        <w:t xml:space="preserve">management </w:t>
      </w:r>
      <w:r>
        <w:t>use cases</w:t>
      </w:r>
      <w:r w:rsidR="005427B3">
        <w:t xml:space="preserve"> and principles for data collec</w:t>
      </w:r>
      <w:r w:rsidR="00E82974">
        <w:t>tion</w:t>
      </w:r>
    </w:p>
    <w:p w14:paraId="424C3F22" w14:textId="3E5F3AF2" w:rsidR="00E31709" w:rsidRPr="00E31709" w:rsidRDefault="00C6775E" w:rsidP="00CF57D0">
      <w:pPr>
        <w:jc w:val="both"/>
        <w:rPr>
          <w:rFonts w:ascii="Arial" w:hAnsi="Arial"/>
          <w:lang w:eastAsia="zh-CN"/>
        </w:rPr>
      </w:pPr>
      <w:r>
        <w:rPr>
          <w:rFonts w:ascii="Arial" w:hAnsi="Arial"/>
          <w:lang w:eastAsia="zh-CN"/>
        </w:rPr>
        <w:t xml:space="preserve">Data collection is an essential step </w:t>
      </w:r>
      <w:r w:rsidR="004D2F58">
        <w:rPr>
          <w:rFonts w:ascii="Arial" w:hAnsi="Arial"/>
          <w:lang w:eastAsia="zh-CN"/>
        </w:rPr>
        <w:t xml:space="preserve">to allow NW-side </w:t>
      </w:r>
      <w:r w:rsidR="00B24A81">
        <w:rPr>
          <w:rFonts w:ascii="Arial" w:hAnsi="Arial"/>
          <w:lang w:eastAsia="zh-CN"/>
        </w:rPr>
        <w:t>model training. During the Rel.19 SI, f</w:t>
      </w:r>
      <w:r w:rsidR="00C6670B" w:rsidRPr="00E31709">
        <w:rPr>
          <w:rFonts w:ascii="Arial" w:hAnsi="Arial"/>
          <w:lang w:eastAsia="zh-CN"/>
        </w:rPr>
        <w:t>or NW-side data collection</w:t>
      </w:r>
      <w:r w:rsidR="00735020" w:rsidRPr="00E31709">
        <w:rPr>
          <w:rFonts w:ascii="Arial" w:hAnsi="Arial"/>
          <w:lang w:eastAsia="zh-CN"/>
        </w:rPr>
        <w:t xml:space="preserve"> related to beam management</w:t>
      </w:r>
      <w:r w:rsidR="00C6670B" w:rsidRPr="00E31709">
        <w:rPr>
          <w:rFonts w:ascii="Arial" w:hAnsi="Arial"/>
          <w:lang w:eastAsia="zh-CN"/>
        </w:rPr>
        <w:t>, RAN2 has identified</w:t>
      </w:r>
      <w:r w:rsidR="00735020" w:rsidRPr="00E31709">
        <w:rPr>
          <w:rFonts w:ascii="Arial" w:hAnsi="Arial"/>
          <w:lang w:eastAsia="zh-CN"/>
        </w:rPr>
        <w:t xml:space="preserve"> t</w:t>
      </w:r>
      <w:r w:rsidR="00E31709" w:rsidRPr="00E31709">
        <w:rPr>
          <w:rFonts w:ascii="Arial" w:hAnsi="Arial"/>
          <w:lang w:eastAsia="zh-CN"/>
        </w:rPr>
        <w:t xml:space="preserve">wo potential </w:t>
      </w:r>
      <w:r w:rsidR="00B52477">
        <w:rPr>
          <w:rFonts w:ascii="Arial" w:hAnsi="Arial"/>
          <w:lang w:eastAsia="zh-CN"/>
        </w:rPr>
        <w:t>approaches for collecting</w:t>
      </w:r>
      <w:r w:rsidR="00D456F3">
        <w:rPr>
          <w:rFonts w:ascii="Arial" w:hAnsi="Arial"/>
          <w:lang w:eastAsia="zh-CN"/>
        </w:rPr>
        <w:t xml:space="preserve"> the data</w:t>
      </w:r>
      <w:r w:rsidR="00B52477">
        <w:rPr>
          <w:rFonts w:ascii="Arial" w:hAnsi="Arial"/>
          <w:lang w:eastAsia="zh-CN"/>
        </w:rPr>
        <w:t xml:space="preserve">: </w:t>
      </w:r>
      <w:r w:rsidR="00313A11">
        <w:rPr>
          <w:rFonts w:ascii="Arial" w:hAnsi="Arial"/>
          <w:lang w:eastAsia="zh-CN"/>
        </w:rPr>
        <w:t xml:space="preserve">a </w:t>
      </w:r>
      <w:r w:rsidR="00E31709" w:rsidRPr="00E31709">
        <w:rPr>
          <w:rFonts w:ascii="Arial" w:hAnsi="Arial"/>
          <w:lang w:eastAsia="zh-CN"/>
        </w:rPr>
        <w:t>gNB-centric data collection</w:t>
      </w:r>
      <w:r w:rsidR="006E094E" w:rsidRPr="00E31709">
        <w:rPr>
          <w:rFonts w:ascii="Arial" w:hAnsi="Arial"/>
          <w:lang w:eastAsia="zh-CN"/>
        </w:rPr>
        <w:t xml:space="preserve"> </w:t>
      </w:r>
      <w:r w:rsidR="00B52477">
        <w:rPr>
          <w:rFonts w:ascii="Arial" w:hAnsi="Arial"/>
          <w:lang w:eastAsia="zh-CN"/>
        </w:rPr>
        <w:t>approach</w:t>
      </w:r>
      <w:r w:rsidR="0064545F">
        <w:rPr>
          <w:rFonts w:ascii="Arial" w:hAnsi="Arial"/>
          <w:lang w:eastAsia="zh-CN"/>
        </w:rPr>
        <w:t>,</w:t>
      </w:r>
      <w:r w:rsidR="00313A11">
        <w:rPr>
          <w:rFonts w:ascii="Arial" w:hAnsi="Arial"/>
          <w:lang w:eastAsia="zh-CN"/>
        </w:rPr>
        <w:t xml:space="preserve"> </w:t>
      </w:r>
      <w:r w:rsidR="00E31709" w:rsidRPr="00E31709">
        <w:rPr>
          <w:rFonts w:ascii="Arial" w:hAnsi="Arial"/>
          <w:lang w:eastAsia="zh-CN"/>
        </w:rPr>
        <w:t>and OAM-centric data collection</w:t>
      </w:r>
      <w:r w:rsidR="00313A11">
        <w:rPr>
          <w:rFonts w:ascii="Arial" w:hAnsi="Arial"/>
          <w:lang w:eastAsia="zh-CN"/>
        </w:rPr>
        <w:t xml:space="preserve"> </w:t>
      </w:r>
      <w:r w:rsidR="00B52477">
        <w:rPr>
          <w:rFonts w:ascii="Arial" w:hAnsi="Arial"/>
          <w:lang w:eastAsia="zh-CN"/>
        </w:rPr>
        <w:t>approach</w:t>
      </w:r>
      <w:r w:rsidR="00E31709" w:rsidRPr="00E31709">
        <w:rPr>
          <w:rFonts w:ascii="Arial" w:hAnsi="Arial"/>
          <w:lang w:eastAsia="zh-CN"/>
        </w:rPr>
        <w:t>.</w:t>
      </w:r>
      <w:r w:rsidR="00FC28F8">
        <w:rPr>
          <w:rFonts w:ascii="Arial" w:hAnsi="Arial"/>
          <w:lang w:eastAsia="zh-CN"/>
        </w:rPr>
        <w:t xml:space="preserve"> This assumption has now been confirmed during RAN2#125-bis, as shown in the above list of agreements.</w:t>
      </w:r>
    </w:p>
    <w:p w14:paraId="17AA647B" w14:textId="1E6ABE54" w:rsidR="001F5EBB" w:rsidRDefault="003853B6" w:rsidP="00CF57D0">
      <w:pPr>
        <w:jc w:val="both"/>
        <w:rPr>
          <w:rFonts w:ascii="Arial" w:hAnsi="Arial"/>
          <w:lang w:eastAsia="zh-CN"/>
        </w:rPr>
      </w:pPr>
      <w:r w:rsidRPr="00823377">
        <w:rPr>
          <w:rFonts w:ascii="Arial" w:hAnsi="Arial"/>
          <w:lang w:eastAsia="zh-CN"/>
        </w:rPr>
        <w:t xml:space="preserve">As captured in the TR, </w:t>
      </w:r>
      <w:r w:rsidR="001F5EBB" w:rsidRPr="00823377">
        <w:rPr>
          <w:rFonts w:ascii="Arial" w:hAnsi="Arial"/>
          <w:lang w:eastAsia="zh-CN"/>
        </w:rPr>
        <w:t xml:space="preserve">the gNB-centric data collection implies that the gNB can configure the UE to </w:t>
      </w:r>
      <w:r w:rsidR="00ED4B38">
        <w:rPr>
          <w:rFonts w:ascii="Arial" w:hAnsi="Arial"/>
          <w:lang w:eastAsia="zh-CN"/>
        </w:rPr>
        <w:t>start</w:t>
      </w:r>
      <w:r w:rsidR="001F5EBB" w:rsidRPr="00823377">
        <w:rPr>
          <w:rFonts w:ascii="Arial" w:hAnsi="Arial"/>
          <w:lang w:eastAsia="zh-CN"/>
        </w:rPr>
        <w:t>/</w:t>
      </w:r>
      <w:r w:rsidR="00ED4B38">
        <w:rPr>
          <w:rFonts w:ascii="Arial" w:hAnsi="Arial"/>
          <w:lang w:eastAsia="zh-CN"/>
        </w:rPr>
        <w:t>stop</w:t>
      </w:r>
      <w:r w:rsidR="001F5EBB" w:rsidRPr="00823377">
        <w:rPr>
          <w:rFonts w:ascii="Arial" w:hAnsi="Arial"/>
          <w:lang w:eastAsia="zh-CN"/>
        </w:rPr>
        <w:t xml:space="preserve"> the data collection procedure, whereas the OAM-centric data collection implies that the OAM provides the configuration (via the gNB) needed for the UE to </w:t>
      </w:r>
      <w:r w:rsidR="00E12A0C">
        <w:rPr>
          <w:rFonts w:ascii="Arial" w:hAnsi="Arial"/>
          <w:lang w:eastAsia="zh-CN"/>
        </w:rPr>
        <w:t>start/stop</w:t>
      </w:r>
      <w:r w:rsidR="001F5EBB" w:rsidRPr="00823377">
        <w:rPr>
          <w:rFonts w:ascii="Arial" w:hAnsi="Arial"/>
          <w:lang w:eastAsia="zh-CN"/>
        </w:rPr>
        <w:t xml:space="preserve"> the data collection procedure. </w:t>
      </w:r>
      <w:r w:rsidR="007517F2" w:rsidRPr="00823377">
        <w:rPr>
          <w:rFonts w:ascii="Arial" w:hAnsi="Arial"/>
          <w:lang w:eastAsia="zh-CN"/>
        </w:rPr>
        <w:t xml:space="preserve">During the SI, RAN2 also discussed possible collection frameworks that could be used for the gNB-centric and OAM-centric data collection, and a preliminary conclusion was that </w:t>
      </w:r>
      <w:r w:rsidR="00EB6830" w:rsidRPr="00823377">
        <w:rPr>
          <w:rFonts w:ascii="Arial" w:hAnsi="Arial"/>
          <w:lang w:eastAsia="zh-CN"/>
        </w:rPr>
        <w:t>an RRC-based solution</w:t>
      </w:r>
      <w:r w:rsidR="00B60703" w:rsidRPr="00823377">
        <w:rPr>
          <w:rFonts w:ascii="Arial" w:hAnsi="Arial"/>
          <w:lang w:eastAsia="zh-CN"/>
        </w:rPr>
        <w:t xml:space="preserve"> can be a suitable candidate for the gNB-centric data collection, and </w:t>
      </w:r>
      <w:r w:rsidR="00EB6830" w:rsidRPr="00823377">
        <w:rPr>
          <w:rFonts w:ascii="Arial" w:hAnsi="Arial"/>
          <w:lang w:eastAsia="zh-CN"/>
        </w:rPr>
        <w:t xml:space="preserve">an </w:t>
      </w:r>
      <w:r w:rsidR="00B60703" w:rsidRPr="00823377">
        <w:rPr>
          <w:rFonts w:ascii="Arial" w:hAnsi="Arial"/>
          <w:lang w:eastAsia="zh-CN"/>
        </w:rPr>
        <w:t>MDT</w:t>
      </w:r>
      <w:r w:rsidR="00EB6830" w:rsidRPr="00823377">
        <w:rPr>
          <w:rFonts w:ascii="Arial" w:hAnsi="Arial"/>
          <w:lang w:eastAsia="zh-CN"/>
        </w:rPr>
        <w:t>-based solution</w:t>
      </w:r>
      <w:r w:rsidR="00B60703" w:rsidRPr="00823377">
        <w:rPr>
          <w:rFonts w:ascii="Arial" w:hAnsi="Arial"/>
          <w:lang w:eastAsia="zh-CN"/>
        </w:rPr>
        <w:t xml:space="preserve"> </w:t>
      </w:r>
      <w:r w:rsidR="00EB6830" w:rsidRPr="00823377">
        <w:rPr>
          <w:rFonts w:ascii="Arial" w:hAnsi="Arial"/>
          <w:lang w:eastAsia="zh-CN"/>
        </w:rPr>
        <w:t xml:space="preserve">can be a suitable candidate for the OAM-centric data collection. </w:t>
      </w:r>
    </w:p>
    <w:p w14:paraId="451E412E" w14:textId="2692E60F" w:rsidR="00DF39B0" w:rsidRDefault="00565ED2" w:rsidP="00CF57D0">
      <w:pPr>
        <w:jc w:val="both"/>
        <w:rPr>
          <w:rFonts w:ascii="Arial" w:hAnsi="Arial"/>
          <w:lang w:eastAsia="zh-CN"/>
        </w:rPr>
      </w:pPr>
      <w:r>
        <w:rPr>
          <w:rFonts w:ascii="Arial" w:hAnsi="Arial"/>
          <w:lang w:eastAsia="zh-CN"/>
        </w:rPr>
        <w:t xml:space="preserve">The usage of such two </w:t>
      </w:r>
      <w:r w:rsidR="0035531C">
        <w:rPr>
          <w:rFonts w:ascii="Arial" w:hAnsi="Arial"/>
          <w:lang w:eastAsia="zh-CN"/>
        </w:rPr>
        <w:t xml:space="preserve">collection </w:t>
      </w:r>
      <w:r>
        <w:rPr>
          <w:rFonts w:ascii="Arial" w:hAnsi="Arial"/>
          <w:lang w:eastAsia="zh-CN"/>
        </w:rPr>
        <w:t xml:space="preserve">frameworks, i.e. RRC and MDT for the gNB- and OAM-centric data collection respectively, is motivated by the requirements that data collection should have. </w:t>
      </w:r>
      <w:r w:rsidRPr="00E579EF">
        <w:rPr>
          <w:rFonts w:ascii="Arial" w:hAnsi="Arial"/>
          <w:lang w:eastAsia="zh-CN"/>
        </w:rPr>
        <w:t xml:space="preserve">For example, data collection for training does not have stringent latency requirements, whereas data overhead may be a concern, since a UE may be asked to perform </w:t>
      </w:r>
      <w:r w:rsidR="0061303B">
        <w:rPr>
          <w:rFonts w:ascii="Arial" w:hAnsi="Arial"/>
          <w:lang w:eastAsia="zh-CN"/>
        </w:rPr>
        <w:t>measurements</w:t>
      </w:r>
      <w:r w:rsidRPr="00E579EF">
        <w:rPr>
          <w:rFonts w:ascii="Arial" w:hAnsi="Arial"/>
          <w:lang w:eastAsia="zh-CN"/>
        </w:rPr>
        <w:t xml:space="preserve"> on certain resources for a relatively long time. Hence, it seems an overkill solution to require the UE to continuously transmit “real-time” type of measurements. That may have an implication on the UE battery </w:t>
      </w:r>
      <w:r w:rsidR="00E579EF" w:rsidRPr="00E579EF">
        <w:rPr>
          <w:rFonts w:ascii="Arial" w:hAnsi="Arial"/>
          <w:lang w:eastAsia="zh-CN"/>
        </w:rPr>
        <w:t xml:space="preserve">consumption, on the </w:t>
      </w:r>
      <w:r w:rsidRPr="00E579EF">
        <w:rPr>
          <w:rFonts w:ascii="Arial" w:hAnsi="Arial"/>
          <w:lang w:eastAsia="zh-CN"/>
        </w:rPr>
        <w:t xml:space="preserve">overall signalling overhead in the system, </w:t>
      </w:r>
      <w:r w:rsidR="00E579EF" w:rsidRPr="00E579EF">
        <w:rPr>
          <w:rFonts w:ascii="Arial" w:hAnsi="Arial"/>
          <w:lang w:eastAsia="zh-CN"/>
        </w:rPr>
        <w:t>and</w:t>
      </w:r>
      <w:r w:rsidRPr="00E579EF">
        <w:rPr>
          <w:rFonts w:ascii="Arial" w:hAnsi="Arial"/>
          <w:lang w:eastAsia="zh-CN"/>
        </w:rPr>
        <w:t xml:space="preserve"> also on the coexistence with existing measurement reports used for scheduling, link adaptation and mobility/RRM purposes</w:t>
      </w:r>
      <w:r w:rsidR="00E579EF" w:rsidRPr="00E579EF">
        <w:rPr>
          <w:rFonts w:ascii="Arial" w:hAnsi="Arial"/>
          <w:lang w:eastAsia="zh-CN"/>
        </w:rPr>
        <w:t xml:space="preserve"> (</w:t>
      </w:r>
      <w:r w:rsidRPr="00E579EF">
        <w:rPr>
          <w:rFonts w:ascii="Arial" w:hAnsi="Arial"/>
          <w:lang w:eastAsia="zh-CN"/>
        </w:rPr>
        <w:t>that instead require “real-time” type of reporting</w:t>
      </w:r>
      <w:r w:rsidR="00E579EF" w:rsidRPr="00E579EF">
        <w:rPr>
          <w:rFonts w:ascii="Arial" w:hAnsi="Arial"/>
          <w:lang w:eastAsia="zh-CN"/>
        </w:rPr>
        <w:t>)</w:t>
      </w:r>
      <w:r w:rsidRPr="00E579EF">
        <w:rPr>
          <w:rFonts w:ascii="Arial" w:hAnsi="Arial"/>
          <w:lang w:eastAsia="zh-CN"/>
        </w:rPr>
        <w:t>.</w:t>
      </w:r>
    </w:p>
    <w:p w14:paraId="3A5EA7F3" w14:textId="4E16A7BE" w:rsidR="00BE63E6" w:rsidRDefault="0061303B" w:rsidP="00BE63E6">
      <w:pPr>
        <w:pStyle w:val="Observation"/>
        <w:rPr>
          <w:lang w:eastAsia="zh-CN"/>
        </w:rPr>
      </w:pPr>
      <w:bookmarkStart w:id="6" w:name="_Ref161851398"/>
      <w:bookmarkStart w:id="7" w:name="_Toc166229345"/>
      <w:r>
        <w:rPr>
          <w:lang w:eastAsia="zh-CN"/>
        </w:rPr>
        <w:lastRenderedPageBreak/>
        <w:t xml:space="preserve">Data collection </w:t>
      </w:r>
      <w:r w:rsidR="00D2647D">
        <w:rPr>
          <w:lang w:eastAsia="zh-CN"/>
        </w:rPr>
        <w:t xml:space="preserve">for NW-side training </w:t>
      </w:r>
      <w:r>
        <w:rPr>
          <w:lang w:eastAsia="zh-CN"/>
        </w:rPr>
        <w:t xml:space="preserve">is not subject </w:t>
      </w:r>
      <w:r w:rsidR="006B6D39">
        <w:rPr>
          <w:lang w:eastAsia="zh-CN"/>
        </w:rPr>
        <w:t>to stringent latency requirements</w:t>
      </w:r>
      <w:r w:rsidR="00143B33">
        <w:rPr>
          <w:lang w:eastAsia="zh-CN"/>
        </w:rPr>
        <w:t xml:space="preserve">, but </w:t>
      </w:r>
      <w:r w:rsidR="00143B33" w:rsidRPr="00E579EF">
        <w:rPr>
          <w:lang w:eastAsia="zh-CN"/>
        </w:rPr>
        <w:t>data overhead</w:t>
      </w:r>
      <w:r w:rsidR="00B137F2">
        <w:rPr>
          <w:lang w:eastAsia="zh-CN"/>
        </w:rPr>
        <w:t xml:space="preserve"> (and hence UE transmitting power consumption)</w:t>
      </w:r>
      <w:r w:rsidR="0012081A">
        <w:rPr>
          <w:lang w:eastAsia="zh-CN"/>
        </w:rPr>
        <w:t xml:space="preserve"> </w:t>
      </w:r>
      <w:r w:rsidR="00143B33" w:rsidRPr="00E579EF">
        <w:rPr>
          <w:lang w:eastAsia="zh-CN"/>
        </w:rPr>
        <w:t>may be a concer</w:t>
      </w:r>
      <w:r w:rsidR="00D2647D">
        <w:rPr>
          <w:lang w:eastAsia="zh-CN"/>
        </w:rPr>
        <w:t>n.</w:t>
      </w:r>
      <w:bookmarkEnd w:id="6"/>
      <w:bookmarkEnd w:id="7"/>
    </w:p>
    <w:p w14:paraId="6CE4DFDA" w14:textId="1638C3E4" w:rsidR="00BE18C1" w:rsidRDefault="00BE18C1" w:rsidP="00CF57D0">
      <w:pPr>
        <w:jc w:val="both"/>
        <w:rPr>
          <w:rFonts w:ascii="Arial" w:hAnsi="Arial"/>
          <w:lang w:eastAsia="zh-CN"/>
        </w:rPr>
      </w:pPr>
      <w:r>
        <w:rPr>
          <w:rFonts w:ascii="Arial" w:hAnsi="Arial"/>
          <w:lang w:eastAsia="zh-CN"/>
        </w:rPr>
        <w:t>For th</w:t>
      </w:r>
      <w:r w:rsidR="00144D89">
        <w:rPr>
          <w:rFonts w:ascii="Arial" w:hAnsi="Arial"/>
          <w:lang w:eastAsia="zh-CN"/>
        </w:rPr>
        <w:t>e above reasons, the following prin</w:t>
      </w:r>
      <w:r w:rsidR="0082734B">
        <w:rPr>
          <w:rFonts w:ascii="Arial" w:hAnsi="Arial"/>
          <w:lang w:eastAsia="zh-CN"/>
        </w:rPr>
        <w:t>ciples were agreed to be captured in the TR 38.843:</w:t>
      </w:r>
    </w:p>
    <w:p w14:paraId="74D770A6" w14:textId="1E0A7E9F" w:rsidR="00682539" w:rsidRDefault="0082734B" w:rsidP="00DD31F7">
      <w:pPr>
        <w:pStyle w:val="B1"/>
        <w:numPr>
          <w:ilvl w:val="0"/>
          <w:numId w:val="16"/>
        </w:numPr>
        <w:rPr>
          <w:rFonts w:ascii="Arial" w:hAnsi="Arial"/>
        </w:rPr>
      </w:pPr>
      <w:r w:rsidRPr="00682539">
        <w:rPr>
          <w:rFonts w:ascii="Arial" w:hAnsi="Arial"/>
        </w:rPr>
        <w:t>UE to support data logging</w:t>
      </w:r>
      <w:r w:rsidR="005D2E55">
        <w:rPr>
          <w:rFonts w:ascii="Arial" w:hAnsi="Arial"/>
        </w:rPr>
        <w:t>.</w:t>
      </w:r>
    </w:p>
    <w:p w14:paraId="16C7A833" w14:textId="01303F34" w:rsidR="00E87A8B" w:rsidRDefault="00E87A8B" w:rsidP="00E87A8B">
      <w:pPr>
        <w:pStyle w:val="B1"/>
        <w:numPr>
          <w:ilvl w:val="1"/>
          <w:numId w:val="16"/>
        </w:numPr>
        <w:rPr>
          <w:rFonts w:ascii="Arial" w:hAnsi="Arial"/>
        </w:rPr>
      </w:pPr>
      <w:r>
        <w:rPr>
          <w:rFonts w:ascii="Arial" w:hAnsi="Arial"/>
        </w:rPr>
        <w:t>This would avoid the UE to continuously transmit individual real time samples of measurement</w:t>
      </w:r>
      <w:r w:rsidR="000C639E">
        <w:rPr>
          <w:rFonts w:ascii="Arial" w:hAnsi="Arial"/>
        </w:rPr>
        <w:t>s</w:t>
      </w:r>
      <w:r>
        <w:rPr>
          <w:rFonts w:ascii="Arial" w:hAnsi="Arial"/>
        </w:rPr>
        <w:t xml:space="preserve">, that would tremendously increase the UE power/energy consumption (especially if training is performed for long time), and potentially creating coexistence issues with legacy non-AIML related signalling, as well as potentially generating high signalling overhead (as previously described). </w:t>
      </w:r>
    </w:p>
    <w:p w14:paraId="12FEDF2D" w14:textId="3DA48C6F" w:rsidR="00682539" w:rsidRDefault="0082734B" w:rsidP="00DD31F7">
      <w:pPr>
        <w:pStyle w:val="B1"/>
        <w:numPr>
          <w:ilvl w:val="0"/>
          <w:numId w:val="16"/>
        </w:numPr>
        <w:rPr>
          <w:rFonts w:ascii="Arial" w:hAnsi="Arial"/>
        </w:rPr>
      </w:pPr>
      <w:r w:rsidRPr="00682539">
        <w:rPr>
          <w:rFonts w:ascii="Arial" w:hAnsi="Arial"/>
        </w:rPr>
        <w:t>UE to report the collected data periodically, event-based, and on-demand</w:t>
      </w:r>
      <w:r w:rsidR="005D2E55">
        <w:rPr>
          <w:rFonts w:ascii="Arial" w:hAnsi="Arial"/>
        </w:rPr>
        <w:t>.</w:t>
      </w:r>
    </w:p>
    <w:p w14:paraId="223DE8CE" w14:textId="4D379129" w:rsidR="00F5099B" w:rsidRDefault="00894258" w:rsidP="00F5099B">
      <w:pPr>
        <w:pStyle w:val="B1"/>
        <w:numPr>
          <w:ilvl w:val="1"/>
          <w:numId w:val="16"/>
        </w:numPr>
        <w:rPr>
          <w:rFonts w:ascii="Arial" w:hAnsi="Arial"/>
        </w:rPr>
      </w:pPr>
      <w:r>
        <w:rPr>
          <w:rFonts w:ascii="Arial" w:hAnsi="Arial"/>
        </w:rPr>
        <w:t>All these three reporting mechanism</w:t>
      </w:r>
      <w:r w:rsidR="00AA5A20">
        <w:rPr>
          <w:rFonts w:ascii="Arial" w:hAnsi="Arial"/>
        </w:rPr>
        <w:t>s</w:t>
      </w:r>
      <w:r>
        <w:rPr>
          <w:rFonts w:ascii="Arial" w:hAnsi="Arial"/>
        </w:rPr>
        <w:t xml:space="preserve"> can be considered for the moment, even if the details can be sorted out later on</w:t>
      </w:r>
      <w:r w:rsidR="00466926">
        <w:rPr>
          <w:rFonts w:ascii="Arial" w:hAnsi="Arial"/>
        </w:rPr>
        <w:t>,</w:t>
      </w:r>
      <w:r>
        <w:rPr>
          <w:rFonts w:ascii="Arial" w:hAnsi="Arial"/>
        </w:rPr>
        <w:t xml:space="preserve"> during the work item</w:t>
      </w:r>
      <w:r w:rsidR="005D2E55">
        <w:rPr>
          <w:rFonts w:ascii="Arial" w:hAnsi="Arial"/>
        </w:rPr>
        <w:t>.</w:t>
      </w:r>
    </w:p>
    <w:p w14:paraId="3ED8CD92" w14:textId="5394CA3D" w:rsidR="0082734B" w:rsidRDefault="0082734B" w:rsidP="00DD31F7">
      <w:pPr>
        <w:pStyle w:val="B1"/>
        <w:numPr>
          <w:ilvl w:val="0"/>
          <w:numId w:val="16"/>
        </w:numPr>
        <w:rPr>
          <w:rFonts w:ascii="Arial" w:hAnsi="Arial"/>
        </w:rPr>
      </w:pPr>
      <w:r w:rsidRPr="00682539">
        <w:rPr>
          <w:rFonts w:ascii="Arial" w:hAnsi="Arial"/>
        </w:rPr>
        <w:t>The UE memory, processing power, energy consumption, signalling overhead should be considered</w:t>
      </w:r>
    </w:p>
    <w:p w14:paraId="63A774B3" w14:textId="11575A9A" w:rsidR="00FC02E6" w:rsidRPr="00682539" w:rsidRDefault="00AA5A20" w:rsidP="00FC02E6">
      <w:pPr>
        <w:pStyle w:val="B1"/>
        <w:numPr>
          <w:ilvl w:val="1"/>
          <w:numId w:val="16"/>
        </w:numPr>
        <w:rPr>
          <w:rFonts w:ascii="Arial" w:hAnsi="Arial"/>
        </w:rPr>
      </w:pPr>
      <w:r>
        <w:rPr>
          <w:rFonts w:ascii="Arial" w:hAnsi="Arial"/>
        </w:rPr>
        <w:t xml:space="preserve">This principle </w:t>
      </w:r>
      <w:r w:rsidR="006F1B2F">
        <w:rPr>
          <w:rFonts w:ascii="Arial" w:hAnsi="Arial"/>
        </w:rPr>
        <w:t>was captured in order to address the concern of</w:t>
      </w:r>
      <w:r w:rsidR="00D12586">
        <w:rPr>
          <w:rFonts w:ascii="Arial" w:hAnsi="Arial"/>
        </w:rPr>
        <w:t xml:space="preserve"> </w:t>
      </w:r>
      <w:r w:rsidR="006F1B2F">
        <w:rPr>
          <w:rFonts w:ascii="Arial" w:hAnsi="Arial"/>
        </w:rPr>
        <w:t xml:space="preserve">the potential </w:t>
      </w:r>
      <w:r w:rsidR="00D12586">
        <w:rPr>
          <w:rFonts w:ascii="Arial" w:hAnsi="Arial"/>
        </w:rPr>
        <w:t>increas</w:t>
      </w:r>
      <w:r w:rsidR="006F1B2F">
        <w:rPr>
          <w:rFonts w:ascii="Arial" w:hAnsi="Arial"/>
        </w:rPr>
        <w:t>e in</w:t>
      </w:r>
      <w:r w:rsidR="00D12586">
        <w:rPr>
          <w:rFonts w:ascii="Arial" w:hAnsi="Arial"/>
        </w:rPr>
        <w:t xml:space="preserve"> the UE memory </w:t>
      </w:r>
      <w:r w:rsidR="006F1B2F">
        <w:rPr>
          <w:rFonts w:ascii="Arial" w:hAnsi="Arial"/>
        </w:rPr>
        <w:t>consumption due to the logging of data</w:t>
      </w:r>
      <w:r w:rsidR="00D12586">
        <w:rPr>
          <w:rFonts w:ascii="Arial" w:hAnsi="Arial"/>
        </w:rPr>
        <w:t xml:space="preserve">. </w:t>
      </w:r>
      <w:r w:rsidR="00C86BC0">
        <w:rPr>
          <w:rFonts w:ascii="Arial" w:hAnsi="Arial"/>
        </w:rPr>
        <w:t>T</w:t>
      </w:r>
      <w:r w:rsidR="00D12586">
        <w:rPr>
          <w:rFonts w:ascii="Arial" w:hAnsi="Arial"/>
        </w:rPr>
        <w:t xml:space="preserve">he UE </w:t>
      </w:r>
      <w:r w:rsidR="00C86BC0">
        <w:rPr>
          <w:rFonts w:ascii="Arial" w:hAnsi="Arial"/>
        </w:rPr>
        <w:t>should not be</w:t>
      </w:r>
      <w:r w:rsidR="00D12586">
        <w:rPr>
          <w:rFonts w:ascii="Arial" w:hAnsi="Arial"/>
        </w:rPr>
        <w:t xml:space="preserve"> mandated to store an indefinite amount of data.</w:t>
      </w:r>
    </w:p>
    <w:p w14:paraId="47D503D9" w14:textId="28131AEF" w:rsidR="00285891" w:rsidRDefault="0096618E" w:rsidP="00CF57D0">
      <w:pPr>
        <w:jc w:val="both"/>
        <w:rPr>
          <w:rFonts w:ascii="Arial" w:hAnsi="Arial"/>
          <w:lang w:eastAsia="zh-CN"/>
        </w:rPr>
      </w:pPr>
      <w:r>
        <w:rPr>
          <w:rFonts w:ascii="Arial" w:hAnsi="Arial"/>
          <w:lang w:eastAsia="zh-CN"/>
        </w:rPr>
        <w:t xml:space="preserve">We believe that the above principles can be used as starting point </w:t>
      </w:r>
      <w:r w:rsidR="003E12A6">
        <w:rPr>
          <w:rFonts w:ascii="Arial" w:hAnsi="Arial"/>
          <w:lang w:eastAsia="zh-CN"/>
        </w:rPr>
        <w:t>for the W</w:t>
      </w:r>
      <w:r w:rsidR="00A733DC">
        <w:rPr>
          <w:rFonts w:ascii="Arial" w:hAnsi="Arial"/>
          <w:lang w:eastAsia="zh-CN"/>
        </w:rPr>
        <w:t>I. In particular, related to the last bullet</w:t>
      </w:r>
      <w:r w:rsidR="008E3B1D">
        <w:rPr>
          <w:rFonts w:ascii="Arial" w:hAnsi="Arial"/>
          <w:lang w:eastAsia="zh-CN"/>
        </w:rPr>
        <w:t>, it was discussed during the RAN2#125-bis meeting the possibility to introduce a</w:t>
      </w:r>
      <w:r w:rsidR="008E3B1D" w:rsidRPr="008E3B1D">
        <w:rPr>
          <w:rFonts w:ascii="Arial" w:hAnsi="Arial"/>
          <w:lang w:eastAsia="zh-CN"/>
        </w:rPr>
        <w:t xml:space="preserve"> minimum requirement on the memory size</w:t>
      </w:r>
      <w:r w:rsidR="004439C5">
        <w:rPr>
          <w:rFonts w:ascii="Arial" w:hAnsi="Arial"/>
          <w:lang w:eastAsia="zh-CN"/>
        </w:rPr>
        <w:t xml:space="preserve">. </w:t>
      </w:r>
      <w:r w:rsidR="008E3B1D">
        <w:rPr>
          <w:rFonts w:ascii="Arial" w:hAnsi="Arial"/>
          <w:lang w:eastAsia="zh-CN"/>
        </w:rPr>
        <w:t xml:space="preserve">This is an option, however </w:t>
      </w:r>
      <w:r w:rsidR="00DB75EF">
        <w:rPr>
          <w:rFonts w:ascii="Arial" w:hAnsi="Arial"/>
          <w:lang w:eastAsia="zh-CN"/>
        </w:rPr>
        <w:t xml:space="preserve">if a more flexible UE implementation is required, </w:t>
      </w:r>
      <w:r w:rsidR="004439C5">
        <w:rPr>
          <w:rFonts w:ascii="Arial" w:hAnsi="Arial"/>
          <w:lang w:eastAsia="zh-CN"/>
        </w:rPr>
        <w:t>there are also other alternatives that RAN2 can discuss. For example</w:t>
      </w:r>
      <w:r w:rsidR="00DB75EF">
        <w:rPr>
          <w:rFonts w:ascii="Arial" w:hAnsi="Arial"/>
          <w:lang w:eastAsia="zh-CN"/>
        </w:rPr>
        <w:t>,</w:t>
      </w:r>
      <w:r w:rsidR="004439C5">
        <w:rPr>
          <w:rFonts w:ascii="Arial" w:hAnsi="Arial"/>
          <w:lang w:eastAsia="zh-CN"/>
        </w:rPr>
        <w:t xml:space="preserve"> </w:t>
      </w:r>
      <w:r w:rsidR="00413B56">
        <w:rPr>
          <w:rFonts w:ascii="Arial" w:hAnsi="Arial"/>
          <w:lang w:eastAsia="zh-CN"/>
        </w:rPr>
        <w:t xml:space="preserve">the UE </w:t>
      </w:r>
      <w:r w:rsidR="004439C5">
        <w:rPr>
          <w:rFonts w:ascii="Arial" w:hAnsi="Arial"/>
          <w:lang w:eastAsia="zh-CN"/>
        </w:rPr>
        <w:t xml:space="preserve">can </w:t>
      </w:r>
      <w:r w:rsidR="00413B56">
        <w:rPr>
          <w:rFonts w:ascii="Arial" w:hAnsi="Arial"/>
          <w:lang w:eastAsia="zh-CN"/>
        </w:rPr>
        <w:t>indicate as part of its capabilities the memory size that can be allocated to NW-side data collection. We would like moreover to highlight that the</w:t>
      </w:r>
      <w:r w:rsidR="00CA762B">
        <w:rPr>
          <w:rFonts w:ascii="Arial" w:hAnsi="Arial"/>
          <w:lang w:eastAsia="zh-CN"/>
        </w:rPr>
        <w:t xml:space="preserve"> support for logging the radio measurement </w:t>
      </w:r>
      <w:r w:rsidR="006147B4">
        <w:rPr>
          <w:rFonts w:ascii="Arial" w:hAnsi="Arial"/>
          <w:lang w:eastAsia="zh-CN"/>
        </w:rPr>
        <w:t>would be</w:t>
      </w:r>
      <w:r w:rsidR="00CA762B">
        <w:rPr>
          <w:rFonts w:ascii="Arial" w:hAnsi="Arial"/>
          <w:lang w:eastAsia="zh-CN"/>
        </w:rPr>
        <w:t xml:space="preserve"> an optional feature for the UE</w:t>
      </w:r>
      <w:r w:rsidR="0085637B">
        <w:rPr>
          <w:rFonts w:ascii="Arial" w:hAnsi="Arial"/>
          <w:lang w:eastAsia="zh-CN"/>
        </w:rPr>
        <w:t>.</w:t>
      </w:r>
    </w:p>
    <w:p w14:paraId="4E5AD306" w14:textId="3F0E97DD" w:rsidR="00364971" w:rsidRDefault="00364971" w:rsidP="00285891">
      <w:pPr>
        <w:pStyle w:val="Proposal"/>
      </w:pPr>
      <w:bookmarkStart w:id="8" w:name="_Ref161851912"/>
      <w:bookmarkStart w:id="9" w:name="_Toc163121855"/>
      <w:bookmarkStart w:id="10" w:name="_Toc166229338"/>
      <w:r>
        <w:t>The data collection frameworks</w:t>
      </w:r>
      <w:r w:rsidR="00731E68">
        <w:t xml:space="preserve"> (gNB-/OAM- centric)</w:t>
      </w:r>
      <w:r>
        <w:t xml:space="preserve"> for NW-side training should be based on the following principles:</w:t>
      </w:r>
      <w:bookmarkEnd w:id="8"/>
      <w:bookmarkEnd w:id="9"/>
      <w:bookmarkEnd w:id="10"/>
    </w:p>
    <w:p w14:paraId="1914949F" w14:textId="729A09D2" w:rsidR="00DE62F5" w:rsidRPr="00F326EE" w:rsidRDefault="00625F99" w:rsidP="00DE62F5">
      <w:pPr>
        <w:pStyle w:val="Proposal"/>
        <w:numPr>
          <w:ilvl w:val="1"/>
          <w:numId w:val="2"/>
        </w:numPr>
      </w:pPr>
      <w:hyperlink w:anchor="_Toc146714676" w:history="1">
        <w:bookmarkStart w:id="11" w:name="_Toc146873795"/>
        <w:bookmarkStart w:id="12" w:name="_Toc163121856"/>
        <w:bookmarkStart w:id="13" w:name="_Toc166229339"/>
        <w:r w:rsidR="0008126E">
          <w:t>T</w:t>
        </w:r>
        <w:r w:rsidR="00DE62F5" w:rsidRPr="00F326EE">
          <w:t xml:space="preserve">he UE </w:t>
        </w:r>
        <w:r w:rsidR="00CA762B">
          <w:t>can optionally</w:t>
        </w:r>
        <w:r w:rsidR="0008126E">
          <w:t xml:space="preserve"> support logging </w:t>
        </w:r>
        <w:r w:rsidR="00076144">
          <w:t xml:space="preserve">of </w:t>
        </w:r>
        <w:r w:rsidR="003D7603">
          <w:t xml:space="preserve">radio </w:t>
        </w:r>
        <w:r w:rsidR="00DE62F5" w:rsidRPr="00F326EE">
          <w:t xml:space="preserve">measurements </w:t>
        </w:r>
        <w:r w:rsidR="003D7603">
          <w:t>related to NW-side model training</w:t>
        </w:r>
        <w:bookmarkEnd w:id="11"/>
        <w:bookmarkEnd w:id="12"/>
        <w:bookmarkEnd w:id="13"/>
      </w:hyperlink>
    </w:p>
    <w:p w14:paraId="459663D0" w14:textId="4545609F" w:rsidR="00DE62F5" w:rsidRPr="00F326EE" w:rsidRDefault="004A65BC" w:rsidP="00DE62F5">
      <w:pPr>
        <w:pStyle w:val="Proposal"/>
        <w:numPr>
          <w:ilvl w:val="1"/>
          <w:numId w:val="2"/>
        </w:numPr>
      </w:pPr>
      <w:bookmarkStart w:id="14" w:name="_Toc163121857"/>
      <w:bookmarkStart w:id="15" w:name="_Toc166229340"/>
      <w:r>
        <w:t xml:space="preserve">The </w:t>
      </w:r>
      <w:r w:rsidR="00E967F5">
        <w:t xml:space="preserve">UE can be configured </w:t>
      </w:r>
      <w:r w:rsidR="00365298">
        <w:t xml:space="preserve">by the gNB </w:t>
      </w:r>
      <w:r w:rsidR="00E967F5">
        <w:t xml:space="preserve">to report the </w:t>
      </w:r>
      <w:r>
        <w:t xml:space="preserve">logged data </w:t>
      </w:r>
      <w:r w:rsidR="00E967F5">
        <w:t>periodically, or event-</w:t>
      </w:r>
      <w:r w:rsidR="00216200">
        <w:t>driven</w:t>
      </w:r>
      <w:r w:rsidR="00E967F5">
        <w:t>, or on</w:t>
      </w:r>
      <w:r w:rsidR="00216200">
        <w:t xml:space="preserve"> gNB request.</w:t>
      </w:r>
      <w:bookmarkEnd w:id="14"/>
      <w:bookmarkEnd w:id="15"/>
      <w:r w:rsidR="00216200" w:rsidRPr="00F326EE">
        <w:t xml:space="preserve"> </w:t>
      </w:r>
    </w:p>
    <w:p w14:paraId="46CC4C52" w14:textId="0D7C7D43" w:rsidR="0082734B" w:rsidRDefault="00D7558E" w:rsidP="00091307">
      <w:pPr>
        <w:pStyle w:val="Proposal"/>
        <w:numPr>
          <w:ilvl w:val="1"/>
          <w:numId w:val="2"/>
        </w:numPr>
      </w:pPr>
      <w:bookmarkStart w:id="16" w:name="_Toc146873798"/>
      <w:bookmarkStart w:id="17" w:name="_Toc163121858"/>
      <w:bookmarkStart w:id="18" w:name="_Toc166229341"/>
      <w:r>
        <w:t>The</w:t>
      </w:r>
      <w:r w:rsidR="00DE62F5">
        <w:t xml:space="preserve"> memory size </w:t>
      </w:r>
      <w:r>
        <w:t>limitation is</w:t>
      </w:r>
      <w:r w:rsidR="00DE62F5">
        <w:t xml:space="preserve"> considered to avoid excessive </w:t>
      </w:r>
      <w:hyperlink w:anchor="_Toc146714679" w:history="1">
        <w:r w:rsidR="00DE62F5" w:rsidRPr="00F326EE">
          <w:t>UE memory</w:t>
        </w:r>
        <w:r w:rsidR="00DE62F5">
          <w:t xml:space="preserve"> usage</w:t>
        </w:r>
        <w:r w:rsidR="00DE62F5" w:rsidRPr="00F326EE">
          <w:t>.</w:t>
        </w:r>
        <w:bookmarkEnd w:id="16"/>
        <w:bookmarkEnd w:id="17"/>
      </w:hyperlink>
      <w:r>
        <w:t xml:space="preserve"> FFS </w:t>
      </w:r>
      <w:r w:rsidR="008D7C33">
        <w:t xml:space="preserve">how to </w:t>
      </w:r>
      <w:r w:rsidR="00035420">
        <w:t>take that into account in the specification</w:t>
      </w:r>
      <w:r w:rsidR="00E745A0">
        <w:t xml:space="preserve"> (e.g. </w:t>
      </w:r>
      <w:r w:rsidR="00035420">
        <w:t xml:space="preserve">maximum </w:t>
      </w:r>
      <w:r w:rsidR="004916DE">
        <w:t>memory size allocated for NW-side data collection is indicated i</w:t>
      </w:r>
      <w:r w:rsidR="00E745A0">
        <w:t>n UE capabilities)</w:t>
      </w:r>
      <w:r w:rsidR="004E3140">
        <w:t>.</w:t>
      </w:r>
      <w:bookmarkEnd w:id="18"/>
    </w:p>
    <w:p w14:paraId="7F0908E5" w14:textId="266CCF72" w:rsidR="009C27A2" w:rsidRDefault="00272C6D" w:rsidP="00272C6D">
      <w:pPr>
        <w:pStyle w:val="Heading3"/>
        <w:rPr>
          <w:lang w:eastAsia="zh-CN"/>
        </w:rPr>
      </w:pPr>
      <w:r>
        <w:rPr>
          <w:lang w:eastAsia="zh-CN"/>
        </w:rPr>
        <w:t xml:space="preserve">2.1.1 </w:t>
      </w:r>
      <w:r w:rsidR="009C27A2">
        <w:rPr>
          <w:lang w:eastAsia="zh-CN"/>
        </w:rPr>
        <w:t>gNB-centric data collection</w:t>
      </w:r>
    </w:p>
    <w:p w14:paraId="29D4993A" w14:textId="5BBE3919" w:rsidR="00987646" w:rsidRPr="00783EFD" w:rsidRDefault="00987646" w:rsidP="00F16322">
      <w:pPr>
        <w:pStyle w:val="BodyText"/>
      </w:pPr>
      <w:r w:rsidRPr="00783EFD">
        <w:t>As mentioned above, for the gNB-centric data collection</w:t>
      </w:r>
      <w:r w:rsidR="00C47FEC" w:rsidRPr="00783EFD">
        <w:t>,</w:t>
      </w:r>
      <w:r w:rsidR="001E11CD" w:rsidRPr="00783EFD">
        <w:t xml:space="preserve"> RRC was considered as suitable </w:t>
      </w:r>
      <w:r w:rsidR="002A4445" w:rsidRPr="00783EFD">
        <w:t>candidate</w:t>
      </w:r>
      <w:r w:rsidR="00A976C6" w:rsidRPr="00783EFD">
        <w:t xml:space="preserve"> for the NW-side data collection. </w:t>
      </w:r>
      <w:r w:rsidR="002A4445" w:rsidRPr="00783EFD">
        <w:t>An alternative to RRC could be to use L1 signalling</w:t>
      </w:r>
      <w:r w:rsidR="009F1957" w:rsidRPr="00783EFD">
        <w:t xml:space="preserve"> (UCI)</w:t>
      </w:r>
      <w:r w:rsidR="002A4445" w:rsidRPr="00783EFD">
        <w:t xml:space="preserve">. However, </w:t>
      </w:r>
      <w:r w:rsidRPr="00783EFD">
        <w:t>if the UE is expected to collect large amount of data with no “real-time” requirements</w:t>
      </w:r>
      <w:r w:rsidR="00043DB2" w:rsidRPr="00783EFD">
        <w:t xml:space="preserve"> (as highlighted in </w:t>
      </w:r>
      <w:r w:rsidR="00043DB2" w:rsidRPr="00783EFD">
        <w:fldChar w:fldCharType="begin"/>
      </w:r>
      <w:r w:rsidR="00043DB2" w:rsidRPr="00783EFD">
        <w:instrText xml:space="preserve"> REF _Ref161851398 \r \h </w:instrText>
      </w:r>
      <w:r w:rsidR="00783EFD" w:rsidRPr="00783EFD">
        <w:instrText xml:space="preserve"> \* MERGEFORMAT </w:instrText>
      </w:r>
      <w:r w:rsidR="00043DB2" w:rsidRPr="00783EFD">
        <w:fldChar w:fldCharType="separate"/>
      </w:r>
      <w:r w:rsidR="00043DB2" w:rsidRPr="00783EFD">
        <w:t>Observation 1</w:t>
      </w:r>
      <w:r w:rsidR="00043DB2" w:rsidRPr="00783EFD">
        <w:fldChar w:fldCharType="end"/>
      </w:r>
      <w:r w:rsidR="00043DB2" w:rsidRPr="00783EFD">
        <w:t>)</w:t>
      </w:r>
      <w:r w:rsidRPr="00783EFD">
        <w:t>, it seems an overkill to use L1 signalling which is instead designed with the intention to provide “real-time” measurements to enable the network to take “real-time” decisions, on e.g. link adaptation, scheduling, power control, etc. Requiring the UE to transmit every single sample of data collected for NW-side training, e.g. in UCI, seems to be a demanding solution for the UE and for the overall spectral efficiency, also considering that at the same time the UE would need to report legacy L1 signalling for legacy purposes</w:t>
      </w:r>
      <w:r w:rsidR="004060AD">
        <w:t xml:space="preserve"> and for the inference</w:t>
      </w:r>
      <w:r w:rsidR="005D6BA1">
        <w:t xml:space="preserve"> on the set B</w:t>
      </w:r>
      <w:r w:rsidR="004060AD">
        <w:t>.</w:t>
      </w:r>
      <w:r w:rsidR="00C2224E">
        <w:t xml:space="preserve"> </w:t>
      </w:r>
      <w:r w:rsidR="00751715">
        <w:t>For example, the UE complexity for the proper encoding of the UCI might be an issue, when the UCI size grows large</w:t>
      </w:r>
      <w:r w:rsidR="001073BA">
        <w:t>, given that the UE would need to report measurement results for the set B and set A (</w:t>
      </w:r>
      <w:r w:rsidR="00F16322">
        <w:t>the latter not being subject to latency constraints</w:t>
      </w:r>
      <w:r w:rsidR="001073BA">
        <w:t>)</w:t>
      </w:r>
      <w:r w:rsidR="00751715">
        <w:t>.</w:t>
      </w:r>
      <w:r w:rsidR="00766FD3" w:rsidRPr="00783EFD">
        <w:t xml:space="preserve"> </w:t>
      </w:r>
      <w:r w:rsidR="005A4BFE">
        <w:br/>
      </w:r>
      <w:r w:rsidR="00F16322">
        <w:t>Further, the large</w:t>
      </w:r>
      <w:r w:rsidRPr="00783EFD">
        <w:t xml:space="preserve"> overhead </w:t>
      </w:r>
      <w:r w:rsidR="005A4BFE">
        <w:t>would</w:t>
      </w:r>
      <w:r w:rsidRPr="00783EFD">
        <w:t xml:space="preserve"> limit the possibility for network to perform training in high load scenarios.</w:t>
      </w:r>
      <w:r w:rsidRPr="00783EFD">
        <w:br/>
        <w:t>Also in terms of signalling flexibility, L1 signalling may not be easily extendible with potential new use cases popping up in future releases.</w:t>
      </w:r>
    </w:p>
    <w:p w14:paraId="01F0430D" w14:textId="77777777" w:rsidR="004D3ADB" w:rsidRDefault="00651A49" w:rsidP="00651A49">
      <w:pPr>
        <w:pStyle w:val="Observation"/>
      </w:pPr>
      <w:bookmarkStart w:id="19" w:name="_Toc166229346"/>
      <w:bookmarkStart w:id="20" w:name="_Toc131599096"/>
      <w:bookmarkStart w:id="21" w:name="_Toc146873816"/>
      <w:r>
        <w:t xml:space="preserve">For data collection of </w:t>
      </w:r>
      <w:r w:rsidR="00A27D89">
        <w:t xml:space="preserve">NW-side model </w:t>
      </w:r>
      <w:r>
        <w:t xml:space="preserve">training, the usage of L1 signalling for data collection </w:t>
      </w:r>
      <w:r w:rsidR="004D3ADB">
        <w:t>may have the following issues:</w:t>
      </w:r>
      <w:bookmarkEnd w:id="19"/>
    </w:p>
    <w:p w14:paraId="2C821FC9" w14:textId="2B42A95D" w:rsidR="004D3ADB" w:rsidRDefault="004D3ADB" w:rsidP="004D3ADB">
      <w:pPr>
        <w:pStyle w:val="Observation"/>
        <w:numPr>
          <w:ilvl w:val="1"/>
          <w:numId w:val="4"/>
        </w:numPr>
      </w:pPr>
      <w:bookmarkStart w:id="22" w:name="_Toc166229347"/>
      <w:r>
        <w:t>N</w:t>
      </w:r>
      <w:r w:rsidR="00651A49">
        <w:t>ot tailored to the requirements of data collection procedures,</w:t>
      </w:r>
      <w:bookmarkEnd w:id="22"/>
      <w:r w:rsidR="00651A49">
        <w:t xml:space="preserve"> </w:t>
      </w:r>
    </w:p>
    <w:p w14:paraId="1913C5BF" w14:textId="3E7D435D" w:rsidR="004D3ADB" w:rsidRDefault="004D3ADB" w:rsidP="004D3ADB">
      <w:pPr>
        <w:pStyle w:val="Observation"/>
        <w:numPr>
          <w:ilvl w:val="1"/>
          <w:numId w:val="4"/>
        </w:numPr>
      </w:pPr>
      <w:bookmarkStart w:id="23" w:name="_Toc166229348"/>
      <w:r>
        <w:t>I</w:t>
      </w:r>
      <w:r w:rsidR="00651A49">
        <w:t>t may create excessive signalling overhead over the air interface</w:t>
      </w:r>
      <w:bookmarkEnd w:id="23"/>
      <w:r w:rsidR="00651A49">
        <w:t xml:space="preserve"> </w:t>
      </w:r>
    </w:p>
    <w:p w14:paraId="2F310F97" w14:textId="603D3227" w:rsidR="006C4699" w:rsidRDefault="004D3ADB" w:rsidP="004D3ADB">
      <w:pPr>
        <w:pStyle w:val="Observation"/>
        <w:numPr>
          <w:ilvl w:val="1"/>
          <w:numId w:val="4"/>
        </w:numPr>
      </w:pPr>
      <w:bookmarkStart w:id="24" w:name="_Toc166229349"/>
      <w:r>
        <w:lastRenderedPageBreak/>
        <w:t>I</w:t>
      </w:r>
      <w:r w:rsidR="00651A49">
        <w:t>t may be demanding from the UE power/energy consumption</w:t>
      </w:r>
      <w:r w:rsidR="008518AF">
        <w:t xml:space="preserve"> perspective</w:t>
      </w:r>
      <w:bookmarkEnd w:id="24"/>
      <w:r w:rsidR="00651A49">
        <w:t xml:space="preserve"> </w:t>
      </w:r>
    </w:p>
    <w:p w14:paraId="3BB51BF7" w14:textId="08EEB6E5" w:rsidR="00037294" w:rsidRDefault="006C4699" w:rsidP="004D3ADB">
      <w:pPr>
        <w:pStyle w:val="Observation"/>
        <w:numPr>
          <w:ilvl w:val="1"/>
          <w:numId w:val="4"/>
        </w:numPr>
      </w:pPr>
      <w:bookmarkStart w:id="25" w:name="_Toc166229350"/>
      <w:r>
        <w:t>I</w:t>
      </w:r>
      <w:r w:rsidR="004D3ADB">
        <w:t xml:space="preserve">t may </w:t>
      </w:r>
      <w:r>
        <w:t xml:space="preserve">increase the UE complexity for the encoding of the UCI, given the </w:t>
      </w:r>
      <w:r w:rsidR="00037294">
        <w:t xml:space="preserve">increased </w:t>
      </w:r>
      <w:r w:rsidR="00574DFE">
        <w:t>UCI payload</w:t>
      </w:r>
      <w:bookmarkEnd w:id="25"/>
    </w:p>
    <w:p w14:paraId="17EDB5D6" w14:textId="7B4199B4" w:rsidR="00651A49" w:rsidRDefault="00037294" w:rsidP="004D3ADB">
      <w:pPr>
        <w:pStyle w:val="Observation"/>
        <w:numPr>
          <w:ilvl w:val="1"/>
          <w:numId w:val="4"/>
        </w:numPr>
      </w:pPr>
      <w:bookmarkStart w:id="26" w:name="_Toc166229351"/>
      <w:r>
        <w:t>I</w:t>
      </w:r>
      <w:r w:rsidR="00651A49">
        <w:t>t may not be easily extendible in future releases.</w:t>
      </w:r>
      <w:bookmarkEnd w:id="20"/>
      <w:bookmarkEnd w:id="21"/>
      <w:bookmarkEnd w:id="26"/>
    </w:p>
    <w:p w14:paraId="3DA6899E" w14:textId="6B07105A" w:rsidR="002C0003" w:rsidRDefault="002B2615" w:rsidP="00CF57D0">
      <w:pPr>
        <w:jc w:val="both"/>
      </w:pPr>
      <w:r w:rsidRPr="00982128">
        <w:rPr>
          <w:rFonts w:ascii="Arial" w:hAnsi="Arial"/>
          <w:lang w:eastAsia="zh-CN"/>
        </w:rPr>
        <w:t>RAN2 can study during the WI</w:t>
      </w:r>
      <w:r w:rsidR="00130117">
        <w:rPr>
          <w:rFonts w:ascii="Arial" w:hAnsi="Arial"/>
          <w:lang w:eastAsia="zh-CN"/>
        </w:rPr>
        <w:t>,</w:t>
      </w:r>
      <w:r w:rsidRPr="00982128">
        <w:rPr>
          <w:rFonts w:ascii="Arial" w:hAnsi="Arial"/>
          <w:lang w:eastAsia="zh-CN"/>
        </w:rPr>
        <w:t xml:space="preserve"> </w:t>
      </w:r>
      <w:r w:rsidR="00541091">
        <w:rPr>
          <w:rFonts w:ascii="Arial" w:hAnsi="Arial"/>
          <w:lang w:eastAsia="zh-CN"/>
        </w:rPr>
        <w:t xml:space="preserve">the enhancements needed in RRC signalling </w:t>
      </w:r>
      <w:r w:rsidRPr="00982128">
        <w:rPr>
          <w:rFonts w:ascii="Arial" w:hAnsi="Arial"/>
          <w:lang w:eastAsia="zh-CN"/>
        </w:rPr>
        <w:t>to properly support the principles highlighted in</w:t>
      </w:r>
      <w:r w:rsidR="00111D77" w:rsidRPr="00982128">
        <w:rPr>
          <w:rFonts w:ascii="Arial" w:hAnsi="Arial"/>
          <w:lang w:eastAsia="zh-CN"/>
        </w:rPr>
        <w:t xml:space="preserve"> </w:t>
      </w:r>
      <w:r w:rsidR="00111D77" w:rsidRPr="00982128">
        <w:rPr>
          <w:rFonts w:ascii="Arial" w:hAnsi="Arial"/>
          <w:lang w:eastAsia="zh-CN"/>
        </w:rPr>
        <w:fldChar w:fldCharType="begin"/>
      </w:r>
      <w:r w:rsidR="00111D77" w:rsidRPr="00982128">
        <w:rPr>
          <w:rFonts w:ascii="Arial" w:hAnsi="Arial"/>
          <w:lang w:eastAsia="zh-CN"/>
        </w:rPr>
        <w:instrText xml:space="preserve"> REF _Ref161851912 \r \h </w:instrText>
      </w:r>
      <w:r w:rsidR="00982128">
        <w:rPr>
          <w:rFonts w:ascii="Arial" w:hAnsi="Arial"/>
          <w:lang w:eastAsia="zh-CN"/>
        </w:rPr>
        <w:instrText xml:space="preserve"> \* MERGEFORMAT </w:instrText>
      </w:r>
      <w:r w:rsidR="00111D77" w:rsidRPr="00982128">
        <w:rPr>
          <w:rFonts w:ascii="Arial" w:hAnsi="Arial"/>
          <w:lang w:eastAsia="zh-CN"/>
        </w:rPr>
      </w:r>
      <w:r w:rsidR="00111D77" w:rsidRPr="00982128">
        <w:rPr>
          <w:rFonts w:ascii="Arial" w:hAnsi="Arial"/>
          <w:lang w:eastAsia="zh-CN"/>
        </w:rPr>
        <w:fldChar w:fldCharType="separate"/>
      </w:r>
      <w:r w:rsidR="00111D77" w:rsidRPr="00982128">
        <w:rPr>
          <w:rFonts w:ascii="Arial" w:hAnsi="Arial"/>
          <w:lang w:eastAsia="zh-CN"/>
        </w:rPr>
        <w:t>Proposal 2</w:t>
      </w:r>
      <w:r w:rsidR="00111D77" w:rsidRPr="00982128">
        <w:rPr>
          <w:rFonts w:ascii="Arial" w:hAnsi="Arial"/>
          <w:lang w:eastAsia="zh-CN"/>
        </w:rPr>
        <w:fldChar w:fldCharType="end"/>
      </w:r>
      <w:r w:rsidR="009F4015" w:rsidRPr="00982128">
        <w:rPr>
          <w:rFonts w:ascii="Arial" w:hAnsi="Arial"/>
          <w:lang w:eastAsia="zh-CN"/>
        </w:rPr>
        <w:t>.</w:t>
      </w:r>
    </w:p>
    <w:p w14:paraId="60FB3112" w14:textId="4728BF8A" w:rsidR="00FE3C59" w:rsidRDefault="002A3C0E" w:rsidP="00FE3C59">
      <w:pPr>
        <w:pStyle w:val="Proposal"/>
      </w:pPr>
      <w:bookmarkStart w:id="27" w:name="_Toc163121859"/>
      <w:bookmarkStart w:id="28" w:name="_Toc166229342"/>
      <w:r>
        <w:t xml:space="preserve">RAN2 to </w:t>
      </w:r>
      <w:r w:rsidR="006B6059">
        <w:t xml:space="preserve">consider RRC signalling as the framework for </w:t>
      </w:r>
      <w:r w:rsidR="006F6E96">
        <w:t xml:space="preserve">gNB-side </w:t>
      </w:r>
      <w:r w:rsidR="006B6059">
        <w:t>data collection</w:t>
      </w:r>
      <w:r w:rsidR="00F656CE">
        <w:t>.</w:t>
      </w:r>
      <w:bookmarkEnd w:id="27"/>
      <w:bookmarkEnd w:id="28"/>
    </w:p>
    <w:p w14:paraId="51D3C7EB" w14:textId="4A9EDFF3" w:rsidR="00F656CE" w:rsidRDefault="00F656CE" w:rsidP="00FE3C59">
      <w:pPr>
        <w:pStyle w:val="Proposal"/>
      </w:pPr>
      <w:bookmarkStart w:id="29" w:name="_Ref163120928"/>
      <w:bookmarkStart w:id="30" w:name="_Toc163121860"/>
      <w:bookmarkStart w:id="31" w:name="_Toc166229343"/>
      <w:r>
        <w:t xml:space="preserve">RAN2 to </w:t>
      </w:r>
      <w:r w:rsidR="00FD32C8">
        <w:t xml:space="preserve">work on RRC enhancements needed to support the </w:t>
      </w:r>
      <w:r w:rsidR="006F6E96">
        <w:t>gNB-side</w:t>
      </w:r>
      <w:r w:rsidR="00FD32C8">
        <w:t xml:space="preserve"> data collection principles in </w:t>
      </w:r>
      <w:r w:rsidR="00FD32C8">
        <w:fldChar w:fldCharType="begin"/>
      </w:r>
      <w:r w:rsidR="00FD32C8">
        <w:instrText xml:space="preserve"> REF _Ref161851912 \r \h </w:instrText>
      </w:r>
      <w:r w:rsidR="00FD32C8">
        <w:fldChar w:fldCharType="separate"/>
      </w:r>
      <w:r w:rsidR="001A0E03">
        <w:t>Proposal 1</w:t>
      </w:r>
      <w:r w:rsidR="00FD32C8">
        <w:fldChar w:fldCharType="end"/>
      </w:r>
      <w:r w:rsidR="00FD32C8">
        <w:t>.</w:t>
      </w:r>
      <w:bookmarkEnd w:id="29"/>
      <w:bookmarkEnd w:id="30"/>
      <w:bookmarkEnd w:id="31"/>
    </w:p>
    <w:p w14:paraId="52E0C0C4" w14:textId="77777777" w:rsidR="009C27A2" w:rsidRPr="009C27A2" w:rsidRDefault="009C27A2" w:rsidP="009C27A2">
      <w:pPr>
        <w:rPr>
          <w:lang w:eastAsia="zh-CN"/>
        </w:rPr>
      </w:pPr>
    </w:p>
    <w:p w14:paraId="6F034DB6" w14:textId="710C04C2" w:rsidR="00272C6D" w:rsidRPr="00823377" w:rsidRDefault="009C27A2" w:rsidP="00272C6D">
      <w:pPr>
        <w:pStyle w:val="Heading3"/>
        <w:rPr>
          <w:lang w:eastAsia="zh-CN"/>
        </w:rPr>
      </w:pPr>
      <w:r>
        <w:rPr>
          <w:lang w:eastAsia="zh-CN"/>
        </w:rPr>
        <w:t xml:space="preserve">2.1.2 </w:t>
      </w:r>
      <w:r w:rsidR="00272C6D">
        <w:rPr>
          <w:lang w:eastAsia="zh-CN"/>
        </w:rPr>
        <w:t>OAM-centric data collection</w:t>
      </w:r>
    </w:p>
    <w:p w14:paraId="7C78ADCB" w14:textId="77777777" w:rsidR="006B0404" w:rsidRDefault="00B95715" w:rsidP="002950B8">
      <w:pPr>
        <w:pStyle w:val="BodyText"/>
      </w:pPr>
      <w:r w:rsidRPr="00F977C9">
        <w:t>F</w:t>
      </w:r>
      <w:r w:rsidR="00FF124C" w:rsidRPr="00F977C9">
        <w:t xml:space="preserve">or </w:t>
      </w:r>
      <w:r w:rsidRPr="00F977C9">
        <w:t xml:space="preserve">OAM-centric data collection, </w:t>
      </w:r>
      <w:r w:rsidR="007E0336" w:rsidRPr="00F977C9">
        <w:t xml:space="preserve">the MDT seems to be the obvious solution. During the Rel.18 SI, it was discussed whether </w:t>
      </w:r>
      <w:r w:rsidR="00AC119C" w:rsidRPr="00F977C9">
        <w:t xml:space="preserve">to </w:t>
      </w:r>
      <w:r w:rsidR="006C3B83" w:rsidRPr="00F977C9">
        <w:t>focus on immediate MDT or logged MDT.</w:t>
      </w:r>
      <w:r w:rsidR="002950B8">
        <w:br/>
      </w:r>
    </w:p>
    <w:p w14:paraId="2BE27651" w14:textId="13BAB32E" w:rsidR="00C50C6C" w:rsidRDefault="00A24E65" w:rsidP="002950B8">
      <w:pPr>
        <w:pStyle w:val="BodyText"/>
      </w:pPr>
      <w:r w:rsidRPr="00F977C9">
        <w:t>L</w:t>
      </w:r>
      <w:r w:rsidR="00B95715" w:rsidRPr="00F977C9">
        <w:t>ogged MDT can only be enabled for idle/inactive UEs, which is obviously a limitation for the AIML use cases</w:t>
      </w:r>
      <w:r w:rsidR="00F478B2" w:rsidRPr="00F977C9">
        <w:t xml:space="preserve"> in the Rel.19, </w:t>
      </w:r>
      <w:r w:rsidR="00000A12" w:rsidRPr="00F977C9">
        <w:t>which are only meant for connected mode.</w:t>
      </w:r>
      <w:r w:rsidR="00F842BC" w:rsidRPr="00F977C9">
        <w:t xml:space="preserve"> </w:t>
      </w:r>
      <w:r w:rsidR="00C50C6C">
        <w:t>Additionally, the logged MDT is purely designed for OAM-centric type of data collection</w:t>
      </w:r>
      <w:r w:rsidR="00746F18">
        <w:t>, i.e. the lo</w:t>
      </w:r>
      <w:r w:rsidR="00A16A8F">
        <w:t xml:space="preserve">gged measurement configuration is initiated by the OAM and forwarded by the gNB to the UE. Hence, the logged MDT cannot be configured given the current design directly by the gNB. This makes the usage of the logged MDT framework for gNB-centric data collection </w:t>
      </w:r>
      <w:r w:rsidR="00E27113">
        <w:t>not practical.</w:t>
      </w:r>
      <w:r w:rsidR="00A16A8F">
        <w:t xml:space="preserve">, </w:t>
      </w:r>
      <w:r w:rsidR="00074FC4">
        <w:t xml:space="preserve">Additionally, the logged MDT session is supposed to continue upon cell change, and </w:t>
      </w:r>
      <w:r w:rsidR="00EB1B3E">
        <w:t xml:space="preserve">when </w:t>
      </w:r>
      <w:r w:rsidR="00074FC4">
        <w:t xml:space="preserve">the logged MDT results </w:t>
      </w:r>
      <w:r w:rsidR="00EB1B3E">
        <w:t>are retrieved</w:t>
      </w:r>
      <w:r w:rsidR="00074FC4">
        <w:t xml:space="preserve"> by a serving gNB</w:t>
      </w:r>
      <w:r w:rsidR="00EB1B3E">
        <w:t xml:space="preserve"> they</w:t>
      </w:r>
      <w:r w:rsidR="00074FC4">
        <w:t xml:space="preserve"> do not go back to the gNB in which logged MDT was initiated</w:t>
      </w:r>
      <w:r w:rsidR="00EB1B3E">
        <w:t>. This is clearly a problem if logged MDT has to be used for gNB-centric data collec</w:t>
      </w:r>
      <w:r w:rsidR="00D25F3C">
        <w:t>tion.</w:t>
      </w:r>
    </w:p>
    <w:p w14:paraId="66E9F1AA" w14:textId="77777777" w:rsidR="00B03025" w:rsidRDefault="00F842BC">
      <w:pPr>
        <w:pStyle w:val="BodyText"/>
      </w:pPr>
      <w:r w:rsidRPr="00F977C9">
        <w:t xml:space="preserve">On the other hand, the immediate MDT works </w:t>
      </w:r>
      <w:r w:rsidR="004500F3" w:rsidRPr="00F977C9">
        <w:t>for collecting data from UEs in RRC connected mode,</w:t>
      </w:r>
      <w:r w:rsidR="008A5201">
        <w:t xml:space="preserve"> and it is based on the e</w:t>
      </w:r>
      <w:r w:rsidR="008A5201" w:rsidRPr="00F977C9">
        <w:t>xisting RRC RRM reporting procedures</w:t>
      </w:r>
      <w:r w:rsidR="008A5201">
        <w:t>.</w:t>
      </w:r>
      <w:r w:rsidR="00097796">
        <w:t xml:space="preserve"> Additionally, the results of the immediate MDT are always</w:t>
      </w:r>
      <w:r w:rsidR="00765BE8">
        <w:t xml:space="preserve"> transmitted to the same gNB in which the immediate MDT session started.</w:t>
      </w:r>
      <w:r w:rsidR="008A5201">
        <w:t xml:space="preserve"> Hence, the usage</w:t>
      </w:r>
      <w:r w:rsidR="007B744B">
        <w:t xml:space="preserve"> of immediate MDT for </w:t>
      </w:r>
      <w:r w:rsidR="00C01927">
        <w:t xml:space="preserve">the </w:t>
      </w:r>
      <w:r w:rsidR="007B744B">
        <w:t xml:space="preserve">OAM-centric approach </w:t>
      </w:r>
      <w:r w:rsidR="00C01927">
        <w:t xml:space="preserve">can </w:t>
      </w:r>
      <w:r w:rsidR="00CB2E32">
        <w:t xml:space="preserve">naturally </w:t>
      </w:r>
      <w:r w:rsidR="00C01927">
        <w:t>coexist with</w:t>
      </w:r>
      <w:r w:rsidR="00A463AA">
        <w:t xml:space="preserve"> the gNB-centric approach, i.e. </w:t>
      </w:r>
      <w:r w:rsidR="00B551B6">
        <w:t>the gNB can configure the UE to perform data collection via RRC, and the collected data</w:t>
      </w:r>
      <w:r w:rsidR="00765BE8">
        <w:t xml:space="preserve"> that are of interest for the OAM</w:t>
      </w:r>
      <w:r w:rsidR="00B551B6">
        <w:t xml:space="preserve"> can be transmitted to the OAM</w:t>
      </w:r>
      <w:r w:rsidR="00EE2ACC">
        <w:t xml:space="preserve"> (</w:t>
      </w:r>
      <w:r w:rsidR="00B551B6">
        <w:t>as</w:t>
      </w:r>
      <w:r w:rsidR="00E15CD0">
        <w:t xml:space="preserve"> it is already in legacy </w:t>
      </w:r>
      <w:r w:rsidR="00B551B6">
        <w:t>for any other measurement</w:t>
      </w:r>
      <w:r w:rsidR="00EE2ACC">
        <w:t>)</w:t>
      </w:r>
      <w:r w:rsidR="00B551B6">
        <w:t>.</w:t>
      </w:r>
      <w:r w:rsidR="00CB2E32">
        <w:t xml:space="preserve"> Whatever enhancement is agreed for gNB-centric data collection would be valid also OAM-centric data collection without further complications in the standard.</w:t>
      </w:r>
      <w:r w:rsidR="00256592">
        <w:t xml:space="preserve"> </w:t>
      </w:r>
      <w:r w:rsidR="003C131D">
        <w:br/>
      </w:r>
    </w:p>
    <w:p w14:paraId="57A6CC16" w14:textId="41C969BB" w:rsidR="00430C03" w:rsidRDefault="00256592" w:rsidP="00B03025">
      <w:pPr>
        <w:pStyle w:val="BodyText"/>
      </w:pPr>
      <w:r>
        <w:t xml:space="preserve">The UE impact is also </w:t>
      </w:r>
      <w:r w:rsidR="003E377B">
        <w:t>reduce</w:t>
      </w:r>
      <w:r w:rsidR="008C1C81">
        <w:t>d compared with the</w:t>
      </w:r>
      <w:r>
        <w:t xml:space="preserve"> logged MDT, </w:t>
      </w:r>
      <w:r w:rsidR="008C1C81">
        <w:t xml:space="preserve">because </w:t>
      </w:r>
      <w:r w:rsidR="003C131D">
        <w:t>unlike the logged MDT, the immediate MDT procedure is completely transparent for the UE,</w:t>
      </w:r>
      <w:r w:rsidR="00152F80">
        <w:t xml:space="preserve"> so </w:t>
      </w:r>
      <w:r w:rsidR="003C131D">
        <w:t>the UE</w:t>
      </w:r>
      <w:r w:rsidR="00152F80">
        <w:t xml:space="preserve"> does not need to initiate two separate logging procedures for the gNB-centric and OAM-centric approach</w:t>
      </w:r>
      <w:r w:rsidR="00515491">
        <w:t>. This means</w:t>
      </w:r>
      <w:r w:rsidR="008C1C81">
        <w:t xml:space="preserve"> for example </w:t>
      </w:r>
      <w:r w:rsidR="00515491">
        <w:t xml:space="preserve">that </w:t>
      </w:r>
      <w:r w:rsidR="008C1C81">
        <w:t xml:space="preserve">no separate memory should be allocated </w:t>
      </w:r>
      <w:r w:rsidR="005A601A">
        <w:t xml:space="preserve">by the UE </w:t>
      </w:r>
      <w:r w:rsidR="008C1C81">
        <w:t>for the gNB-centric and OAM-centric data collection</w:t>
      </w:r>
      <w:r w:rsidR="00152F80">
        <w:t>.</w:t>
      </w:r>
      <w:r w:rsidR="00892B57">
        <w:t xml:space="preserve"> </w:t>
      </w:r>
    </w:p>
    <w:p w14:paraId="2422B58E" w14:textId="0FE80586" w:rsidR="003853B6" w:rsidRDefault="009445AD" w:rsidP="009445AD">
      <w:pPr>
        <w:pStyle w:val="Observation"/>
      </w:pPr>
      <w:bookmarkStart w:id="32" w:name="_Toc166229352"/>
      <w:r>
        <w:t xml:space="preserve">Immediate MDT is based on the </w:t>
      </w:r>
      <w:r w:rsidR="009D1D22">
        <w:t>existing RRC reporting procedures for RRM</w:t>
      </w:r>
      <w:r w:rsidR="00F82522">
        <w:t>.</w:t>
      </w:r>
      <w:r w:rsidR="00311975">
        <w:t xml:space="preserve"> </w:t>
      </w:r>
      <w:r w:rsidR="003A2E76">
        <w:t>Compared with logged MDT, t</w:t>
      </w:r>
      <w:r w:rsidR="00F82522">
        <w:t>his would reduce the specification effort and coordination with other WGs</w:t>
      </w:r>
      <w:r w:rsidR="00C9615C">
        <w:t xml:space="preserve"> (needed in case logged MDT is used)</w:t>
      </w:r>
      <w:r w:rsidR="00C35B05">
        <w:t xml:space="preserve"> and also the UE complexity</w:t>
      </w:r>
      <w:r w:rsidR="00376F28">
        <w:t>/memory consumption</w:t>
      </w:r>
      <w:r w:rsidR="00C35B05">
        <w:t xml:space="preserve"> since </w:t>
      </w:r>
      <w:r w:rsidR="00FE7DB0">
        <w:t xml:space="preserve">immediate MDT is a transparent procedure for the </w:t>
      </w:r>
      <w:r w:rsidR="00C35B05">
        <w:t xml:space="preserve">UE </w:t>
      </w:r>
      <w:r w:rsidR="00FE7DB0">
        <w:t xml:space="preserve">(i.e. the UE </w:t>
      </w:r>
      <w:r w:rsidR="003A2E76">
        <w:t>does not need to handle separate data collection sessions for gNB- and OAM-centric approach</w:t>
      </w:r>
      <w:r w:rsidR="00FE7DB0">
        <w:t>)</w:t>
      </w:r>
      <w:r w:rsidR="003A2E76">
        <w:t>.</w:t>
      </w:r>
      <w:r w:rsidR="003A2E76">
        <w:br/>
      </w:r>
      <w:r w:rsidR="00AF34EC">
        <w:t xml:space="preserve">This is also fulfilling the principle of </w:t>
      </w:r>
      <w:r w:rsidR="00AF34EC" w:rsidRPr="00F71D3C">
        <w:rPr>
          <w:lang w:eastAsia="zh-CN"/>
        </w:rPr>
        <w:t>same measurement framework</w:t>
      </w:r>
      <w:r w:rsidR="00AF34EC">
        <w:rPr>
          <w:lang w:eastAsia="zh-CN"/>
        </w:rPr>
        <w:t xml:space="preserve"> for </w:t>
      </w:r>
      <w:r w:rsidR="00AF34EC" w:rsidRPr="00F71D3C">
        <w:rPr>
          <w:lang w:eastAsia="zh-CN"/>
        </w:rPr>
        <w:t>gNB-centric and OAM-centric</w:t>
      </w:r>
      <w:r w:rsidR="00AF34EC">
        <w:rPr>
          <w:lang w:eastAsia="zh-CN"/>
        </w:rPr>
        <w:t xml:space="preserve"> approaches, agreed during RAN2#125-bis.</w:t>
      </w:r>
      <w:bookmarkEnd w:id="32"/>
    </w:p>
    <w:p w14:paraId="2E34AB90" w14:textId="79841616" w:rsidR="00F82522" w:rsidRDefault="00F82522" w:rsidP="00F82522">
      <w:pPr>
        <w:pStyle w:val="Proposal"/>
      </w:pPr>
      <w:bookmarkStart w:id="33" w:name="_Toc146873793"/>
      <w:bookmarkStart w:id="34" w:name="_Toc163121861"/>
      <w:bookmarkStart w:id="35" w:name="_Toc166229344"/>
      <w:r>
        <w:t>For OAM-centric data collection</w:t>
      </w:r>
      <w:r w:rsidR="006C068E">
        <w:t>,</w:t>
      </w:r>
      <w:r>
        <w:t xml:space="preserve"> RAN2 considers immediate MDT as </w:t>
      </w:r>
      <w:r w:rsidR="009B4C33">
        <w:t xml:space="preserve">the </w:t>
      </w:r>
      <w:r>
        <w:t>baseline</w:t>
      </w:r>
      <w:r w:rsidR="009B4C33">
        <w:t xml:space="preserve"> data collection framework</w:t>
      </w:r>
      <w:r>
        <w:t>.</w:t>
      </w:r>
      <w:bookmarkEnd w:id="33"/>
      <w:bookmarkEnd w:id="34"/>
      <w:bookmarkEnd w:id="35"/>
    </w:p>
    <w:p w14:paraId="1FEBEC59" w14:textId="77777777" w:rsidR="00851805" w:rsidRPr="00CE0424" w:rsidRDefault="00851805" w:rsidP="00851805">
      <w:pPr>
        <w:pStyle w:val="Heading1"/>
      </w:pPr>
      <w:bookmarkStart w:id="36" w:name="_Toc109400796"/>
      <w:bookmarkStart w:id="37" w:name="_Toc109400797"/>
      <w:bookmarkStart w:id="38" w:name="_Toc109400798"/>
      <w:bookmarkStart w:id="39" w:name="_Toc109400799"/>
      <w:bookmarkStart w:id="40" w:name="_Toc109400800"/>
      <w:bookmarkStart w:id="41" w:name="_Toc109400801"/>
      <w:bookmarkStart w:id="42" w:name="_Toc109400802"/>
      <w:bookmarkStart w:id="43" w:name="_Toc109400803"/>
      <w:bookmarkStart w:id="44" w:name="_Toc109400804"/>
      <w:bookmarkStart w:id="45" w:name="_Toc109400805"/>
      <w:bookmarkStart w:id="46" w:name="_Toc109400806"/>
      <w:bookmarkStart w:id="47" w:name="_Toc109400807"/>
      <w:bookmarkStart w:id="48" w:name="_Toc109400808"/>
      <w:bookmarkStart w:id="49" w:name="_Toc109400809"/>
      <w:bookmarkStart w:id="50" w:name="_Toc109400810"/>
      <w:bookmarkStart w:id="51" w:name="_Toc109400811"/>
      <w:bookmarkStart w:id="52" w:name="_Toc109400812"/>
      <w:bookmarkStart w:id="53" w:name="_Toc109400813"/>
      <w:bookmarkStart w:id="54" w:name="_Toc109400814"/>
      <w:bookmarkStart w:id="55" w:name="_Toc109400815"/>
      <w:bookmarkStart w:id="56" w:name="_Toc109400816"/>
      <w:bookmarkStart w:id="57" w:name="_Toc109400817"/>
      <w:bookmarkStart w:id="58" w:name="_Toc109400818"/>
      <w:bookmarkStart w:id="59" w:name="_Ref13461290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3</w:t>
      </w:r>
      <w:r>
        <w:tab/>
      </w:r>
      <w:r w:rsidRPr="00CE0424">
        <w:t>Conclusion</w:t>
      </w:r>
      <w:bookmarkEnd w:id="59"/>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048654B0" w14:textId="565BCEE5" w:rsidR="00983FA4"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lastRenderedPageBreak/>
        <w:fldChar w:fldCharType="begin"/>
      </w:r>
      <w:r w:rsidRPr="0011226F">
        <w:rPr>
          <w:bCs/>
        </w:rPr>
        <w:instrText xml:space="preserve"> TOC \f O \n \h \z \t "Observation" \c </w:instrText>
      </w:r>
      <w:r w:rsidRPr="0011226F">
        <w:rPr>
          <w:b w:val="0"/>
          <w:bCs/>
        </w:rPr>
        <w:fldChar w:fldCharType="separate"/>
      </w:r>
      <w:hyperlink w:anchor="_Toc166229345" w:history="1">
        <w:r w:rsidR="00983FA4" w:rsidRPr="00082B5C">
          <w:rPr>
            <w:rStyle w:val="Hyperlink"/>
            <w:noProof/>
          </w:rPr>
          <w:t>Observation 1</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082B5C">
          <w:rPr>
            <w:rStyle w:val="Hyperlink"/>
            <w:noProof/>
          </w:rPr>
          <w:t>Data collection for NW-side training is not subject to stringent latency requirements, but data overhead (and hence UE transmitting power consumption) may be a concern.</w:t>
        </w:r>
      </w:hyperlink>
    </w:p>
    <w:p w14:paraId="306B91A5" w14:textId="46CDF2C3"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6" w:history="1">
        <w:r w:rsidR="00983FA4" w:rsidRPr="00082B5C">
          <w:rPr>
            <w:rStyle w:val="Hyperlink"/>
            <w:noProof/>
          </w:rPr>
          <w:t>Observation 2</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082B5C">
          <w:rPr>
            <w:rStyle w:val="Hyperlink"/>
            <w:noProof/>
          </w:rPr>
          <w:t>For data collection of NW-side model training, the usage of L1 signalling for data collection may have the following issues:</w:t>
        </w:r>
      </w:hyperlink>
    </w:p>
    <w:p w14:paraId="29BF3924" w14:textId="6A0DEA28"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7" w:history="1">
        <w:r w:rsidR="00983FA4" w:rsidRPr="00082B5C">
          <w:rPr>
            <w:rStyle w:val="Hyperlink"/>
            <w:noProof/>
          </w:rPr>
          <w:t>a.</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082B5C">
          <w:rPr>
            <w:rStyle w:val="Hyperlink"/>
            <w:noProof/>
          </w:rPr>
          <w:t>Not tailored to the requirements of data collection procedures,</w:t>
        </w:r>
      </w:hyperlink>
    </w:p>
    <w:p w14:paraId="27FFD785" w14:textId="6002658A"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8" w:history="1">
        <w:r w:rsidR="00983FA4" w:rsidRPr="00082B5C">
          <w:rPr>
            <w:rStyle w:val="Hyperlink"/>
            <w:noProof/>
          </w:rPr>
          <w:t>b.</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082B5C">
          <w:rPr>
            <w:rStyle w:val="Hyperlink"/>
            <w:noProof/>
          </w:rPr>
          <w:t>It may create excessive signalling overhead over the air interface</w:t>
        </w:r>
      </w:hyperlink>
    </w:p>
    <w:p w14:paraId="1CFBE10F" w14:textId="76CD4139"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9" w:history="1">
        <w:r w:rsidR="00983FA4" w:rsidRPr="00082B5C">
          <w:rPr>
            <w:rStyle w:val="Hyperlink"/>
            <w:noProof/>
          </w:rPr>
          <w:t>c.</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082B5C">
          <w:rPr>
            <w:rStyle w:val="Hyperlink"/>
            <w:noProof/>
          </w:rPr>
          <w:t>It may be demanding from the UE power/energy consumption perspective</w:t>
        </w:r>
      </w:hyperlink>
    </w:p>
    <w:p w14:paraId="05F5CAD4" w14:textId="720BB9C1"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50" w:history="1">
        <w:r w:rsidR="00983FA4" w:rsidRPr="00082B5C">
          <w:rPr>
            <w:rStyle w:val="Hyperlink"/>
            <w:noProof/>
          </w:rPr>
          <w:t>d.</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082B5C">
          <w:rPr>
            <w:rStyle w:val="Hyperlink"/>
            <w:noProof/>
          </w:rPr>
          <w:t>It may increase the UE complexity for the encoding of the UCI, given the increased UCI payload</w:t>
        </w:r>
      </w:hyperlink>
    </w:p>
    <w:p w14:paraId="4172DA57" w14:textId="68D4F83F"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51" w:history="1">
        <w:r w:rsidR="00983FA4" w:rsidRPr="00082B5C">
          <w:rPr>
            <w:rStyle w:val="Hyperlink"/>
            <w:noProof/>
          </w:rPr>
          <w:t>e.</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082B5C">
          <w:rPr>
            <w:rStyle w:val="Hyperlink"/>
            <w:noProof/>
          </w:rPr>
          <w:t>It may not be easily extendible in future releases.</w:t>
        </w:r>
      </w:hyperlink>
    </w:p>
    <w:p w14:paraId="6E2F25B4" w14:textId="5771BE5D"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52" w:history="1">
        <w:r w:rsidR="00983FA4" w:rsidRPr="00082B5C">
          <w:rPr>
            <w:rStyle w:val="Hyperlink"/>
            <w:noProof/>
          </w:rPr>
          <w:t>Observation 3</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082B5C">
          <w:rPr>
            <w:rStyle w:val="Hyperlink"/>
            <w:noProof/>
          </w:rPr>
          <w:t>Immediate MDT is based on the existing RRC reporting procedures for RRM. Compared with logged MDT, this would reduce the specification effort and coordination with other WGs (needed in case logged MDT is used) and also the UE complexity/memory consumption since immediate MDT is a transparent procedure for the UE (i.e. the UE does not need to handle separate data collection sessions for gNB- and OAM-centric approach). This is also fulfilling the principle of same measurement framework for gNB-centric and OAM-centric approaches, agreed during RAN2#125-bis.</w:t>
        </w:r>
      </w:hyperlink>
    </w:p>
    <w:p w14:paraId="10B894D0" w14:textId="21C64C06" w:rsidR="00851805" w:rsidRDefault="00851805" w:rsidP="00851805">
      <w:pPr>
        <w:pStyle w:val="BodyText"/>
        <w:keepNext/>
      </w:pPr>
      <w:r w:rsidRPr="0011226F">
        <w:rPr>
          <w:b/>
          <w:bCs/>
        </w:rPr>
        <w:fldChar w:fldCharType="end"/>
      </w:r>
      <w:bookmarkStart w:id="60"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7CE06465" w14:textId="52378051" w:rsidR="00983FA4"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6229338" w:history="1">
        <w:r w:rsidR="00983FA4" w:rsidRPr="0091310B">
          <w:rPr>
            <w:rStyle w:val="Hyperlink"/>
            <w:noProof/>
          </w:rPr>
          <w:t>Proposal 1</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91310B">
          <w:rPr>
            <w:rStyle w:val="Hyperlink"/>
            <w:noProof/>
          </w:rPr>
          <w:t>The data collection frameworks (gNB-/OAM- centric) for NW-side training should be based on the following principles:</w:t>
        </w:r>
      </w:hyperlink>
    </w:p>
    <w:p w14:paraId="47787D6A" w14:textId="2EC9B704"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39" w:history="1">
        <w:r w:rsidR="00983FA4" w:rsidRPr="0091310B">
          <w:rPr>
            <w:rStyle w:val="Hyperlink"/>
            <w:noProof/>
          </w:rPr>
          <w:t>a.</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91310B">
          <w:rPr>
            <w:rStyle w:val="Hyperlink"/>
            <w:noProof/>
          </w:rPr>
          <w:t>The UE can optionally support logging of radio measurements related to NW-side model training</w:t>
        </w:r>
      </w:hyperlink>
    </w:p>
    <w:p w14:paraId="747015C2" w14:textId="1D8E9BAF"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0" w:history="1">
        <w:r w:rsidR="00983FA4" w:rsidRPr="0091310B">
          <w:rPr>
            <w:rStyle w:val="Hyperlink"/>
            <w:noProof/>
          </w:rPr>
          <w:t>b.</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91310B">
          <w:rPr>
            <w:rStyle w:val="Hyperlink"/>
            <w:noProof/>
          </w:rPr>
          <w:t>The UE can be configured by the gNB to report the logged data periodically, or event-driven, or on gNB request.</w:t>
        </w:r>
      </w:hyperlink>
    </w:p>
    <w:p w14:paraId="0AFFB3E8" w14:textId="612C5760"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1" w:history="1">
        <w:r w:rsidR="00983FA4" w:rsidRPr="0091310B">
          <w:rPr>
            <w:rStyle w:val="Hyperlink"/>
            <w:noProof/>
          </w:rPr>
          <w:t>c.</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91310B">
          <w:rPr>
            <w:rStyle w:val="Hyperlink"/>
            <w:noProof/>
          </w:rPr>
          <w:t>The memory size limitation is considered to avoid excessive UE memory usage. FFS how to take that into account in the specification (e.g. maximum memory size allocated for NW-side data collection is indicated in UE capabilities).</w:t>
        </w:r>
      </w:hyperlink>
    </w:p>
    <w:p w14:paraId="0EA58BA6" w14:textId="7489BBE8"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2" w:history="1">
        <w:r w:rsidR="00983FA4" w:rsidRPr="0091310B">
          <w:rPr>
            <w:rStyle w:val="Hyperlink"/>
            <w:noProof/>
          </w:rPr>
          <w:t>Proposal 2</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91310B">
          <w:rPr>
            <w:rStyle w:val="Hyperlink"/>
            <w:noProof/>
          </w:rPr>
          <w:t>RAN2 to consider RRC signalling as the framework for gNB-side data collection.</w:t>
        </w:r>
      </w:hyperlink>
    </w:p>
    <w:p w14:paraId="7FEB13E7" w14:textId="430FD879"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3" w:history="1">
        <w:r w:rsidR="00983FA4" w:rsidRPr="0091310B">
          <w:rPr>
            <w:rStyle w:val="Hyperlink"/>
            <w:noProof/>
          </w:rPr>
          <w:t>Proposal 3</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91310B">
          <w:rPr>
            <w:rStyle w:val="Hyperlink"/>
            <w:noProof/>
          </w:rPr>
          <w:t>RAN2 to work on RRC enhancements needed to support the gNB-side data collection principles in Proposal 1.</w:t>
        </w:r>
      </w:hyperlink>
    </w:p>
    <w:p w14:paraId="78677263" w14:textId="0E66A401" w:rsidR="00983FA4" w:rsidRDefault="00625F99">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229344" w:history="1">
        <w:r w:rsidR="00983FA4" w:rsidRPr="0091310B">
          <w:rPr>
            <w:rStyle w:val="Hyperlink"/>
            <w:noProof/>
          </w:rPr>
          <w:t>Proposal 4</w:t>
        </w:r>
        <w:r w:rsidR="00983FA4">
          <w:rPr>
            <w:rFonts w:asciiTheme="minorHAnsi" w:eastAsiaTheme="minorEastAsia" w:hAnsiTheme="minorHAnsi" w:cstheme="minorBidi"/>
            <w:b w:val="0"/>
            <w:noProof/>
            <w:kern w:val="2"/>
            <w:sz w:val="22"/>
            <w:szCs w:val="22"/>
            <w:lang w:val="en-SE" w:eastAsia="en-SE"/>
            <w14:ligatures w14:val="standardContextual"/>
          </w:rPr>
          <w:tab/>
        </w:r>
        <w:r w:rsidR="00983FA4" w:rsidRPr="0091310B">
          <w:rPr>
            <w:rStyle w:val="Hyperlink"/>
            <w:noProof/>
          </w:rPr>
          <w:t>For OAM-centric data collection, RAN2 considers immediate MDT as the baseline data collection framework.</w:t>
        </w:r>
      </w:hyperlink>
    </w:p>
    <w:p w14:paraId="6E5B7928" w14:textId="339C2857" w:rsidR="00851805" w:rsidRPr="002474C2" w:rsidRDefault="00851805" w:rsidP="002474C2">
      <w:pPr>
        <w:pStyle w:val="Reference"/>
        <w:numPr>
          <w:ilvl w:val="0"/>
          <w:numId w:val="0"/>
        </w:numPr>
        <w:rPr>
          <w:b/>
          <w:bCs/>
          <w:lang w:val="en-US"/>
        </w:rPr>
      </w:pPr>
      <w:r>
        <w:rPr>
          <w:b/>
          <w:bCs/>
          <w:lang w:val="en-US"/>
        </w:rPr>
        <w:fldChar w:fldCharType="end"/>
      </w:r>
      <w:bookmarkEnd w:id="60"/>
    </w:p>
    <w:sectPr w:rsidR="00851805" w:rsidRPr="002474C2" w:rsidSect="00600E14">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5D0AA" w14:textId="77777777" w:rsidR="00600E14" w:rsidRDefault="00600E14">
      <w:r>
        <w:separator/>
      </w:r>
    </w:p>
  </w:endnote>
  <w:endnote w:type="continuationSeparator" w:id="0">
    <w:p w14:paraId="79DB5CA5" w14:textId="77777777" w:rsidR="00600E14" w:rsidRDefault="00600E14">
      <w:r>
        <w:continuationSeparator/>
      </w:r>
    </w:p>
  </w:endnote>
  <w:endnote w:type="continuationNotice" w:id="1">
    <w:p w14:paraId="53EC3DCF" w14:textId="77777777" w:rsidR="00600E14" w:rsidRDefault="00600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F0C6" w14:textId="77777777" w:rsidR="00600E14" w:rsidRDefault="00600E14">
      <w:r>
        <w:separator/>
      </w:r>
    </w:p>
  </w:footnote>
  <w:footnote w:type="continuationSeparator" w:id="0">
    <w:p w14:paraId="21600284" w14:textId="77777777" w:rsidR="00600E14" w:rsidRDefault="00600E14">
      <w:r>
        <w:continuationSeparator/>
      </w:r>
    </w:p>
  </w:footnote>
  <w:footnote w:type="continuationNotice" w:id="1">
    <w:p w14:paraId="5BB15283" w14:textId="77777777" w:rsidR="00600E14" w:rsidRDefault="00600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11"/>
  </w:num>
  <w:num w:numId="2" w16cid:durableId="1572422690">
    <w:abstractNumId w:val="9"/>
  </w:num>
  <w:num w:numId="3" w16cid:durableId="1642154989">
    <w:abstractNumId w:val="0"/>
  </w:num>
  <w:num w:numId="4" w16cid:durableId="423578544">
    <w:abstractNumId w:val="12"/>
  </w:num>
  <w:num w:numId="5" w16cid:durableId="322859524">
    <w:abstractNumId w:val="13"/>
  </w:num>
  <w:num w:numId="6" w16cid:durableId="298847170">
    <w:abstractNumId w:val="15"/>
  </w:num>
  <w:num w:numId="7" w16cid:durableId="1074741927">
    <w:abstractNumId w:val="4"/>
  </w:num>
  <w:num w:numId="8" w16cid:durableId="586306639">
    <w:abstractNumId w:val="5"/>
  </w:num>
  <w:num w:numId="9" w16cid:durableId="1776173870">
    <w:abstractNumId w:val="1"/>
  </w:num>
  <w:num w:numId="10" w16cid:durableId="417337838">
    <w:abstractNumId w:val="18"/>
  </w:num>
  <w:num w:numId="11" w16cid:durableId="2134670666">
    <w:abstractNumId w:val="8"/>
  </w:num>
  <w:num w:numId="12" w16cid:durableId="1875460000">
    <w:abstractNumId w:val="16"/>
  </w:num>
  <w:num w:numId="13" w16cid:durableId="42366671">
    <w:abstractNumId w:val="17"/>
  </w:num>
  <w:num w:numId="14" w16cid:durableId="2012758268">
    <w:abstractNumId w:val="10"/>
  </w:num>
  <w:num w:numId="15" w16cid:durableId="330715211">
    <w:abstractNumId w:val="3"/>
  </w:num>
  <w:num w:numId="16" w16cid:durableId="660234499">
    <w:abstractNumId w:val="2"/>
  </w:num>
  <w:num w:numId="17" w16cid:durableId="178932827">
    <w:abstractNumId w:val="6"/>
  </w:num>
  <w:num w:numId="18" w16cid:durableId="6753976">
    <w:abstractNumId w:val="7"/>
  </w:num>
  <w:num w:numId="19" w16cid:durableId="21497385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A90"/>
    <w:rsid w:val="00003D28"/>
    <w:rsid w:val="0000487A"/>
    <w:rsid w:val="000048F2"/>
    <w:rsid w:val="00004ACA"/>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AB"/>
    <w:rsid w:val="00007ABD"/>
    <w:rsid w:val="00007CDC"/>
    <w:rsid w:val="00007FC7"/>
    <w:rsid w:val="000109D8"/>
    <w:rsid w:val="00010A70"/>
    <w:rsid w:val="00010D4E"/>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8F3"/>
    <w:rsid w:val="00014A74"/>
    <w:rsid w:val="00014B81"/>
    <w:rsid w:val="00014C06"/>
    <w:rsid w:val="00015C0A"/>
    <w:rsid w:val="00015D15"/>
    <w:rsid w:val="000160F8"/>
    <w:rsid w:val="00016171"/>
    <w:rsid w:val="0001695B"/>
    <w:rsid w:val="00016C5B"/>
    <w:rsid w:val="0001713B"/>
    <w:rsid w:val="00017CA3"/>
    <w:rsid w:val="00017DBF"/>
    <w:rsid w:val="00017E3D"/>
    <w:rsid w:val="0002047E"/>
    <w:rsid w:val="00020A59"/>
    <w:rsid w:val="00020D6E"/>
    <w:rsid w:val="000211BA"/>
    <w:rsid w:val="00021429"/>
    <w:rsid w:val="000220F9"/>
    <w:rsid w:val="00022C99"/>
    <w:rsid w:val="0002340C"/>
    <w:rsid w:val="000235A1"/>
    <w:rsid w:val="00023639"/>
    <w:rsid w:val="00023993"/>
    <w:rsid w:val="00023A50"/>
    <w:rsid w:val="00023BCE"/>
    <w:rsid w:val="00023DC1"/>
    <w:rsid w:val="000248D7"/>
    <w:rsid w:val="00024CA1"/>
    <w:rsid w:val="00024D73"/>
    <w:rsid w:val="00024E89"/>
    <w:rsid w:val="00024F23"/>
    <w:rsid w:val="0002564D"/>
    <w:rsid w:val="00025666"/>
    <w:rsid w:val="000258DE"/>
    <w:rsid w:val="00025A7B"/>
    <w:rsid w:val="00025BBC"/>
    <w:rsid w:val="00025ECA"/>
    <w:rsid w:val="00026335"/>
    <w:rsid w:val="00026773"/>
    <w:rsid w:val="000267A6"/>
    <w:rsid w:val="0002683C"/>
    <w:rsid w:val="00026DFC"/>
    <w:rsid w:val="00026E5B"/>
    <w:rsid w:val="00026EEA"/>
    <w:rsid w:val="000272D7"/>
    <w:rsid w:val="00027408"/>
    <w:rsid w:val="0002754E"/>
    <w:rsid w:val="00027600"/>
    <w:rsid w:val="00027B7D"/>
    <w:rsid w:val="00027D10"/>
    <w:rsid w:val="00027F0B"/>
    <w:rsid w:val="00027F58"/>
    <w:rsid w:val="0003042E"/>
    <w:rsid w:val="00030D98"/>
    <w:rsid w:val="00030F91"/>
    <w:rsid w:val="00030FF4"/>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20"/>
    <w:rsid w:val="000354C4"/>
    <w:rsid w:val="00035810"/>
    <w:rsid w:val="00035F5B"/>
    <w:rsid w:val="000364ED"/>
    <w:rsid w:val="00036688"/>
    <w:rsid w:val="00036AF4"/>
    <w:rsid w:val="00036BA1"/>
    <w:rsid w:val="00036D30"/>
    <w:rsid w:val="00037294"/>
    <w:rsid w:val="000377D6"/>
    <w:rsid w:val="00037B16"/>
    <w:rsid w:val="000400BA"/>
    <w:rsid w:val="00040269"/>
    <w:rsid w:val="0004084C"/>
    <w:rsid w:val="00040E7B"/>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DB2"/>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49"/>
    <w:rsid w:val="00050FEC"/>
    <w:rsid w:val="00051470"/>
    <w:rsid w:val="00051F9A"/>
    <w:rsid w:val="00052238"/>
    <w:rsid w:val="00052282"/>
    <w:rsid w:val="0005229C"/>
    <w:rsid w:val="0005259C"/>
    <w:rsid w:val="00052A07"/>
    <w:rsid w:val="00052D88"/>
    <w:rsid w:val="00052F1B"/>
    <w:rsid w:val="00053259"/>
    <w:rsid w:val="00053267"/>
    <w:rsid w:val="0005336A"/>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BA2"/>
    <w:rsid w:val="00057E5D"/>
    <w:rsid w:val="00057E5F"/>
    <w:rsid w:val="000602E0"/>
    <w:rsid w:val="00060550"/>
    <w:rsid w:val="000606DF"/>
    <w:rsid w:val="00060783"/>
    <w:rsid w:val="0006083F"/>
    <w:rsid w:val="00060AE6"/>
    <w:rsid w:val="000610E0"/>
    <w:rsid w:val="00061338"/>
    <w:rsid w:val="000616E7"/>
    <w:rsid w:val="00061BD6"/>
    <w:rsid w:val="00061CA0"/>
    <w:rsid w:val="00062099"/>
    <w:rsid w:val="00062403"/>
    <w:rsid w:val="000626A1"/>
    <w:rsid w:val="000626F3"/>
    <w:rsid w:val="00062833"/>
    <w:rsid w:val="000628C0"/>
    <w:rsid w:val="000631A3"/>
    <w:rsid w:val="000633AE"/>
    <w:rsid w:val="0006368D"/>
    <w:rsid w:val="000636B0"/>
    <w:rsid w:val="00063892"/>
    <w:rsid w:val="0006393D"/>
    <w:rsid w:val="00064512"/>
    <w:rsid w:val="0006465D"/>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4FC4"/>
    <w:rsid w:val="000751F7"/>
    <w:rsid w:val="00075C5D"/>
    <w:rsid w:val="00076093"/>
    <w:rsid w:val="00076144"/>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26E"/>
    <w:rsid w:val="00081720"/>
    <w:rsid w:val="00081AE6"/>
    <w:rsid w:val="00081BA8"/>
    <w:rsid w:val="00081BB5"/>
    <w:rsid w:val="00081C44"/>
    <w:rsid w:val="00081E32"/>
    <w:rsid w:val="00082185"/>
    <w:rsid w:val="00082EA3"/>
    <w:rsid w:val="000831F1"/>
    <w:rsid w:val="000837C4"/>
    <w:rsid w:val="000843C7"/>
    <w:rsid w:val="00084414"/>
    <w:rsid w:val="00084D55"/>
    <w:rsid w:val="0008507E"/>
    <w:rsid w:val="000852A1"/>
    <w:rsid w:val="000855EB"/>
    <w:rsid w:val="000856A6"/>
    <w:rsid w:val="00085B52"/>
    <w:rsid w:val="0008664B"/>
    <w:rsid w:val="000866F2"/>
    <w:rsid w:val="0008741B"/>
    <w:rsid w:val="00087AEE"/>
    <w:rsid w:val="0009009F"/>
    <w:rsid w:val="0009041B"/>
    <w:rsid w:val="00090763"/>
    <w:rsid w:val="000909B0"/>
    <w:rsid w:val="00090A9D"/>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4F76"/>
    <w:rsid w:val="0009510F"/>
    <w:rsid w:val="000953D4"/>
    <w:rsid w:val="000954AA"/>
    <w:rsid w:val="000955E5"/>
    <w:rsid w:val="00095611"/>
    <w:rsid w:val="00095751"/>
    <w:rsid w:val="00095F7F"/>
    <w:rsid w:val="000960CD"/>
    <w:rsid w:val="000963A4"/>
    <w:rsid w:val="0009650C"/>
    <w:rsid w:val="0009669E"/>
    <w:rsid w:val="0009689D"/>
    <w:rsid w:val="000973E4"/>
    <w:rsid w:val="0009742B"/>
    <w:rsid w:val="00097572"/>
    <w:rsid w:val="00097796"/>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64C"/>
    <w:rsid w:val="000B7A7C"/>
    <w:rsid w:val="000B7C23"/>
    <w:rsid w:val="000B7FF1"/>
    <w:rsid w:val="000C0448"/>
    <w:rsid w:val="000C05C9"/>
    <w:rsid w:val="000C0D63"/>
    <w:rsid w:val="000C0FD9"/>
    <w:rsid w:val="000C103B"/>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873"/>
    <w:rsid w:val="000C3A7D"/>
    <w:rsid w:val="000C3B37"/>
    <w:rsid w:val="000C42C9"/>
    <w:rsid w:val="000C42CF"/>
    <w:rsid w:val="000C453E"/>
    <w:rsid w:val="000C4585"/>
    <w:rsid w:val="000C4646"/>
    <w:rsid w:val="000C4DF0"/>
    <w:rsid w:val="000C4E35"/>
    <w:rsid w:val="000C4E8B"/>
    <w:rsid w:val="000C5271"/>
    <w:rsid w:val="000C5490"/>
    <w:rsid w:val="000C5A37"/>
    <w:rsid w:val="000C5B89"/>
    <w:rsid w:val="000C5E73"/>
    <w:rsid w:val="000C5EC7"/>
    <w:rsid w:val="000C639E"/>
    <w:rsid w:val="000C66A3"/>
    <w:rsid w:val="000C6B20"/>
    <w:rsid w:val="000C74AD"/>
    <w:rsid w:val="000C7C35"/>
    <w:rsid w:val="000C7EF0"/>
    <w:rsid w:val="000C7F66"/>
    <w:rsid w:val="000D0278"/>
    <w:rsid w:val="000D03CD"/>
    <w:rsid w:val="000D045B"/>
    <w:rsid w:val="000D0C28"/>
    <w:rsid w:val="000D0D07"/>
    <w:rsid w:val="000D0E64"/>
    <w:rsid w:val="000D0FC9"/>
    <w:rsid w:val="000D1042"/>
    <w:rsid w:val="000D120F"/>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781"/>
    <w:rsid w:val="000E19DA"/>
    <w:rsid w:val="000E1E92"/>
    <w:rsid w:val="000E1F45"/>
    <w:rsid w:val="000E2574"/>
    <w:rsid w:val="000E2BBC"/>
    <w:rsid w:val="000E357F"/>
    <w:rsid w:val="000E3823"/>
    <w:rsid w:val="000E3C97"/>
    <w:rsid w:val="000E3D92"/>
    <w:rsid w:val="000E4077"/>
    <w:rsid w:val="000E47A6"/>
    <w:rsid w:val="000E47C5"/>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2C0"/>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5F5C"/>
    <w:rsid w:val="000F6DF3"/>
    <w:rsid w:val="000F6E9C"/>
    <w:rsid w:val="000F70B0"/>
    <w:rsid w:val="000F715B"/>
    <w:rsid w:val="000F74E3"/>
    <w:rsid w:val="001000B6"/>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3BA"/>
    <w:rsid w:val="00107749"/>
    <w:rsid w:val="00107B88"/>
    <w:rsid w:val="00110232"/>
    <w:rsid w:val="0011036B"/>
    <w:rsid w:val="001105C3"/>
    <w:rsid w:val="001106C1"/>
    <w:rsid w:val="0011191E"/>
    <w:rsid w:val="00111D44"/>
    <w:rsid w:val="00111D77"/>
    <w:rsid w:val="00112105"/>
    <w:rsid w:val="00112180"/>
    <w:rsid w:val="0011254B"/>
    <w:rsid w:val="00112BC2"/>
    <w:rsid w:val="00112C0D"/>
    <w:rsid w:val="00112D9D"/>
    <w:rsid w:val="00113433"/>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81A"/>
    <w:rsid w:val="0012090D"/>
    <w:rsid w:val="00120C64"/>
    <w:rsid w:val="00120E2D"/>
    <w:rsid w:val="00120E9D"/>
    <w:rsid w:val="0012105E"/>
    <w:rsid w:val="0012141E"/>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4064"/>
    <w:rsid w:val="00124176"/>
    <w:rsid w:val="001241EE"/>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117"/>
    <w:rsid w:val="001302D2"/>
    <w:rsid w:val="00130489"/>
    <w:rsid w:val="0013062B"/>
    <w:rsid w:val="00130633"/>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083F"/>
    <w:rsid w:val="00141565"/>
    <w:rsid w:val="001415E2"/>
    <w:rsid w:val="001416DE"/>
    <w:rsid w:val="0014177A"/>
    <w:rsid w:val="00141783"/>
    <w:rsid w:val="00141E3B"/>
    <w:rsid w:val="0014208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B90"/>
    <w:rsid w:val="00150D80"/>
    <w:rsid w:val="0015129F"/>
    <w:rsid w:val="00151714"/>
    <w:rsid w:val="0015191C"/>
    <w:rsid w:val="001519D8"/>
    <w:rsid w:val="00151A24"/>
    <w:rsid w:val="00151E23"/>
    <w:rsid w:val="00152211"/>
    <w:rsid w:val="001526E0"/>
    <w:rsid w:val="00152851"/>
    <w:rsid w:val="00152A81"/>
    <w:rsid w:val="00152F80"/>
    <w:rsid w:val="00153116"/>
    <w:rsid w:val="00153118"/>
    <w:rsid w:val="001536E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7E7"/>
    <w:rsid w:val="00164E2E"/>
    <w:rsid w:val="00165789"/>
    <w:rsid w:val="001658C8"/>
    <w:rsid w:val="001659C1"/>
    <w:rsid w:val="00165D8D"/>
    <w:rsid w:val="00165ECF"/>
    <w:rsid w:val="00166273"/>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720"/>
    <w:rsid w:val="00176C12"/>
    <w:rsid w:val="001771A5"/>
    <w:rsid w:val="001774AE"/>
    <w:rsid w:val="00177BAC"/>
    <w:rsid w:val="00177C07"/>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6E8F"/>
    <w:rsid w:val="001873EC"/>
    <w:rsid w:val="00187A8B"/>
    <w:rsid w:val="00187BA2"/>
    <w:rsid w:val="00190212"/>
    <w:rsid w:val="00190407"/>
    <w:rsid w:val="00190AC1"/>
    <w:rsid w:val="00190EA2"/>
    <w:rsid w:val="00191910"/>
    <w:rsid w:val="001919B9"/>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03"/>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14"/>
    <w:rsid w:val="001B402E"/>
    <w:rsid w:val="001B42A7"/>
    <w:rsid w:val="001B4346"/>
    <w:rsid w:val="001B4856"/>
    <w:rsid w:val="001B48F4"/>
    <w:rsid w:val="001B4BAF"/>
    <w:rsid w:val="001B4C26"/>
    <w:rsid w:val="001B4C8F"/>
    <w:rsid w:val="001B516A"/>
    <w:rsid w:val="001B5A5D"/>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1CD"/>
    <w:rsid w:val="001E1473"/>
    <w:rsid w:val="001E16C8"/>
    <w:rsid w:val="001E1EAD"/>
    <w:rsid w:val="001E1F46"/>
    <w:rsid w:val="001E20A2"/>
    <w:rsid w:val="001E2550"/>
    <w:rsid w:val="001E284B"/>
    <w:rsid w:val="001E2CD6"/>
    <w:rsid w:val="001E2DA6"/>
    <w:rsid w:val="001E2FAF"/>
    <w:rsid w:val="001E384E"/>
    <w:rsid w:val="001E3AAB"/>
    <w:rsid w:val="001E416D"/>
    <w:rsid w:val="001E4930"/>
    <w:rsid w:val="001E49F4"/>
    <w:rsid w:val="001E51FC"/>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E08"/>
    <w:rsid w:val="001F5EBB"/>
    <w:rsid w:val="001F60D1"/>
    <w:rsid w:val="001F6250"/>
    <w:rsid w:val="001F662C"/>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E6D"/>
    <w:rsid w:val="00207FA3"/>
    <w:rsid w:val="0021009D"/>
    <w:rsid w:val="00211F96"/>
    <w:rsid w:val="00211FAF"/>
    <w:rsid w:val="0021233C"/>
    <w:rsid w:val="002126AD"/>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A63"/>
    <w:rsid w:val="00217D53"/>
    <w:rsid w:val="00217FF2"/>
    <w:rsid w:val="00220500"/>
    <w:rsid w:val="00220600"/>
    <w:rsid w:val="00220EBF"/>
    <w:rsid w:val="002211EE"/>
    <w:rsid w:val="00221247"/>
    <w:rsid w:val="0022142D"/>
    <w:rsid w:val="002216DB"/>
    <w:rsid w:val="00221784"/>
    <w:rsid w:val="00221894"/>
    <w:rsid w:val="002224DB"/>
    <w:rsid w:val="002229D6"/>
    <w:rsid w:val="00222BB0"/>
    <w:rsid w:val="00222CBF"/>
    <w:rsid w:val="00223065"/>
    <w:rsid w:val="002231AD"/>
    <w:rsid w:val="0022326F"/>
    <w:rsid w:val="002232A3"/>
    <w:rsid w:val="002232FF"/>
    <w:rsid w:val="00223585"/>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F57"/>
    <w:rsid w:val="00227085"/>
    <w:rsid w:val="0022776F"/>
    <w:rsid w:val="00227BFA"/>
    <w:rsid w:val="00227CD2"/>
    <w:rsid w:val="0023012D"/>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94B"/>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0659"/>
    <w:rsid w:val="00241249"/>
    <w:rsid w:val="00241559"/>
    <w:rsid w:val="002417AE"/>
    <w:rsid w:val="00241BD2"/>
    <w:rsid w:val="0024215F"/>
    <w:rsid w:val="002421AA"/>
    <w:rsid w:val="0024253A"/>
    <w:rsid w:val="0024268A"/>
    <w:rsid w:val="0024278C"/>
    <w:rsid w:val="0024284E"/>
    <w:rsid w:val="00242AE7"/>
    <w:rsid w:val="0024326A"/>
    <w:rsid w:val="002435B3"/>
    <w:rsid w:val="00243804"/>
    <w:rsid w:val="00244123"/>
    <w:rsid w:val="00244273"/>
    <w:rsid w:val="00244AA3"/>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5CCE"/>
    <w:rsid w:val="00256592"/>
    <w:rsid w:val="00256D4D"/>
    <w:rsid w:val="00256E39"/>
    <w:rsid w:val="00256EC9"/>
    <w:rsid w:val="002570F7"/>
    <w:rsid w:val="0025724D"/>
    <w:rsid w:val="0025729E"/>
    <w:rsid w:val="002573D9"/>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3ADC"/>
    <w:rsid w:val="00263CC0"/>
    <w:rsid w:val="00264194"/>
    <w:rsid w:val="00264228"/>
    <w:rsid w:val="00264334"/>
    <w:rsid w:val="002643DC"/>
    <w:rsid w:val="0026473E"/>
    <w:rsid w:val="00264790"/>
    <w:rsid w:val="00265046"/>
    <w:rsid w:val="002658B2"/>
    <w:rsid w:val="002658C3"/>
    <w:rsid w:val="00265B05"/>
    <w:rsid w:val="00265F04"/>
    <w:rsid w:val="00265F1F"/>
    <w:rsid w:val="00266214"/>
    <w:rsid w:val="002666D4"/>
    <w:rsid w:val="00266965"/>
    <w:rsid w:val="002669AF"/>
    <w:rsid w:val="00267A4E"/>
    <w:rsid w:val="00267C83"/>
    <w:rsid w:val="00267D0D"/>
    <w:rsid w:val="00270049"/>
    <w:rsid w:val="002704CA"/>
    <w:rsid w:val="00270857"/>
    <w:rsid w:val="00270B8E"/>
    <w:rsid w:val="0027102B"/>
    <w:rsid w:val="002710FA"/>
    <w:rsid w:val="0027144F"/>
    <w:rsid w:val="002717E4"/>
    <w:rsid w:val="00271813"/>
    <w:rsid w:val="00271B68"/>
    <w:rsid w:val="00271F3A"/>
    <w:rsid w:val="00271FD1"/>
    <w:rsid w:val="0027243E"/>
    <w:rsid w:val="00272B04"/>
    <w:rsid w:val="00272C6D"/>
    <w:rsid w:val="00272CFA"/>
    <w:rsid w:val="00273278"/>
    <w:rsid w:val="002735D6"/>
    <w:rsid w:val="002737F4"/>
    <w:rsid w:val="002738E6"/>
    <w:rsid w:val="00273994"/>
    <w:rsid w:val="00274294"/>
    <w:rsid w:val="002744D8"/>
    <w:rsid w:val="00274B73"/>
    <w:rsid w:val="00274E8A"/>
    <w:rsid w:val="00275352"/>
    <w:rsid w:val="00275B9A"/>
    <w:rsid w:val="00275CD9"/>
    <w:rsid w:val="00275D13"/>
    <w:rsid w:val="002765FE"/>
    <w:rsid w:val="002766CF"/>
    <w:rsid w:val="002767A4"/>
    <w:rsid w:val="00276BDD"/>
    <w:rsid w:val="00276C68"/>
    <w:rsid w:val="00276CCD"/>
    <w:rsid w:val="00277453"/>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891"/>
    <w:rsid w:val="002859E1"/>
    <w:rsid w:val="00285CD0"/>
    <w:rsid w:val="002861F7"/>
    <w:rsid w:val="00286774"/>
    <w:rsid w:val="00286911"/>
    <w:rsid w:val="00286ACD"/>
    <w:rsid w:val="00286DEC"/>
    <w:rsid w:val="00287297"/>
    <w:rsid w:val="0028733D"/>
    <w:rsid w:val="00287838"/>
    <w:rsid w:val="00287920"/>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50B8"/>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BD9"/>
    <w:rsid w:val="002A2C27"/>
    <w:rsid w:val="002A2C73"/>
    <w:rsid w:val="002A3247"/>
    <w:rsid w:val="002A325B"/>
    <w:rsid w:val="002A34C8"/>
    <w:rsid w:val="002A3896"/>
    <w:rsid w:val="002A3C0E"/>
    <w:rsid w:val="002A3CE0"/>
    <w:rsid w:val="002A3E4E"/>
    <w:rsid w:val="002A3EBE"/>
    <w:rsid w:val="002A4445"/>
    <w:rsid w:val="002A47DD"/>
    <w:rsid w:val="002A483E"/>
    <w:rsid w:val="002A4949"/>
    <w:rsid w:val="002A4963"/>
    <w:rsid w:val="002A4E16"/>
    <w:rsid w:val="002A5841"/>
    <w:rsid w:val="002A5B9C"/>
    <w:rsid w:val="002A63BC"/>
    <w:rsid w:val="002A6655"/>
    <w:rsid w:val="002A6989"/>
    <w:rsid w:val="002A7A05"/>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F3"/>
    <w:rsid w:val="002B1DEA"/>
    <w:rsid w:val="002B210B"/>
    <w:rsid w:val="002B21D0"/>
    <w:rsid w:val="002B24D6"/>
    <w:rsid w:val="002B2615"/>
    <w:rsid w:val="002B26AB"/>
    <w:rsid w:val="002B2B1E"/>
    <w:rsid w:val="002B3182"/>
    <w:rsid w:val="002B3897"/>
    <w:rsid w:val="002B3DD6"/>
    <w:rsid w:val="002B463D"/>
    <w:rsid w:val="002B47CD"/>
    <w:rsid w:val="002B4FA7"/>
    <w:rsid w:val="002B51E8"/>
    <w:rsid w:val="002B51FF"/>
    <w:rsid w:val="002B529D"/>
    <w:rsid w:val="002B571C"/>
    <w:rsid w:val="002B5C4A"/>
    <w:rsid w:val="002B5D0D"/>
    <w:rsid w:val="002B6260"/>
    <w:rsid w:val="002B6588"/>
    <w:rsid w:val="002B65F7"/>
    <w:rsid w:val="002B65F9"/>
    <w:rsid w:val="002B6676"/>
    <w:rsid w:val="002B7974"/>
    <w:rsid w:val="002B7E5E"/>
    <w:rsid w:val="002B7F09"/>
    <w:rsid w:val="002B7FDE"/>
    <w:rsid w:val="002C0003"/>
    <w:rsid w:val="002C0EE6"/>
    <w:rsid w:val="002C0FA4"/>
    <w:rsid w:val="002C11B8"/>
    <w:rsid w:val="002C1993"/>
    <w:rsid w:val="002C1B72"/>
    <w:rsid w:val="002C1DA4"/>
    <w:rsid w:val="002C22EB"/>
    <w:rsid w:val="002C2E46"/>
    <w:rsid w:val="002C314C"/>
    <w:rsid w:val="002C31AD"/>
    <w:rsid w:val="002C3275"/>
    <w:rsid w:val="002C35E0"/>
    <w:rsid w:val="002C3AB4"/>
    <w:rsid w:val="002C3F1A"/>
    <w:rsid w:val="002C41E6"/>
    <w:rsid w:val="002C4509"/>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4B2"/>
    <w:rsid w:val="002D363C"/>
    <w:rsid w:val="002D3652"/>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212F"/>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539"/>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47FA"/>
    <w:rsid w:val="002F48B3"/>
    <w:rsid w:val="002F5395"/>
    <w:rsid w:val="002F5689"/>
    <w:rsid w:val="002F5C34"/>
    <w:rsid w:val="002F5CCA"/>
    <w:rsid w:val="002F6357"/>
    <w:rsid w:val="002F63AE"/>
    <w:rsid w:val="002F6B70"/>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4B3"/>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0C6"/>
    <w:rsid w:val="003102C3"/>
    <w:rsid w:val="0031073D"/>
    <w:rsid w:val="00310A38"/>
    <w:rsid w:val="003112B5"/>
    <w:rsid w:val="00311490"/>
    <w:rsid w:val="00311702"/>
    <w:rsid w:val="00311975"/>
    <w:rsid w:val="00311A93"/>
    <w:rsid w:val="00311C8C"/>
    <w:rsid w:val="00311E82"/>
    <w:rsid w:val="0031268B"/>
    <w:rsid w:val="00312E17"/>
    <w:rsid w:val="00313263"/>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EEC"/>
    <w:rsid w:val="003226ED"/>
    <w:rsid w:val="00322712"/>
    <w:rsid w:val="00322734"/>
    <w:rsid w:val="00322B73"/>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6A3"/>
    <w:rsid w:val="003266C0"/>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1C"/>
    <w:rsid w:val="003553D1"/>
    <w:rsid w:val="00355459"/>
    <w:rsid w:val="00355E12"/>
    <w:rsid w:val="00355F2F"/>
    <w:rsid w:val="003561D5"/>
    <w:rsid w:val="00356297"/>
    <w:rsid w:val="003565E7"/>
    <w:rsid w:val="003568A5"/>
    <w:rsid w:val="00357380"/>
    <w:rsid w:val="003576FF"/>
    <w:rsid w:val="00357987"/>
    <w:rsid w:val="003602D9"/>
    <w:rsid w:val="003604CE"/>
    <w:rsid w:val="003608D1"/>
    <w:rsid w:val="00361090"/>
    <w:rsid w:val="003611F5"/>
    <w:rsid w:val="003616AF"/>
    <w:rsid w:val="00361DA4"/>
    <w:rsid w:val="003624A2"/>
    <w:rsid w:val="00362B74"/>
    <w:rsid w:val="0036324C"/>
    <w:rsid w:val="00363354"/>
    <w:rsid w:val="00363375"/>
    <w:rsid w:val="00363B62"/>
    <w:rsid w:val="00363C09"/>
    <w:rsid w:val="00363E9E"/>
    <w:rsid w:val="00364127"/>
    <w:rsid w:val="0036420F"/>
    <w:rsid w:val="00364971"/>
    <w:rsid w:val="00364B54"/>
    <w:rsid w:val="00364F37"/>
    <w:rsid w:val="00365298"/>
    <w:rsid w:val="003654FE"/>
    <w:rsid w:val="00365AEB"/>
    <w:rsid w:val="00365C48"/>
    <w:rsid w:val="00365FE7"/>
    <w:rsid w:val="003663F5"/>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5F1C"/>
    <w:rsid w:val="003763FF"/>
    <w:rsid w:val="003766CC"/>
    <w:rsid w:val="00376C2D"/>
    <w:rsid w:val="00376F1C"/>
    <w:rsid w:val="00376F28"/>
    <w:rsid w:val="00376F90"/>
    <w:rsid w:val="00377454"/>
    <w:rsid w:val="00377CE1"/>
    <w:rsid w:val="00377F57"/>
    <w:rsid w:val="00380697"/>
    <w:rsid w:val="00380797"/>
    <w:rsid w:val="00380A32"/>
    <w:rsid w:val="00380EC2"/>
    <w:rsid w:val="00381031"/>
    <w:rsid w:val="00381356"/>
    <w:rsid w:val="00381363"/>
    <w:rsid w:val="00382151"/>
    <w:rsid w:val="00382201"/>
    <w:rsid w:val="0038269A"/>
    <w:rsid w:val="003829AD"/>
    <w:rsid w:val="0038300A"/>
    <w:rsid w:val="00383325"/>
    <w:rsid w:val="003835E7"/>
    <w:rsid w:val="003837AF"/>
    <w:rsid w:val="0038406A"/>
    <w:rsid w:val="003841C7"/>
    <w:rsid w:val="00384343"/>
    <w:rsid w:val="00384662"/>
    <w:rsid w:val="003846C3"/>
    <w:rsid w:val="0038492F"/>
    <w:rsid w:val="00385093"/>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80B"/>
    <w:rsid w:val="00391E82"/>
    <w:rsid w:val="00392381"/>
    <w:rsid w:val="003923AF"/>
    <w:rsid w:val="0039275C"/>
    <w:rsid w:val="00392C0D"/>
    <w:rsid w:val="00392EA7"/>
    <w:rsid w:val="0039382C"/>
    <w:rsid w:val="003939FF"/>
    <w:rsid w:val="00393B7C"/>
    <w:rsid w:val="00393C88"/>
    <w:rsid w:val="00393F9E"/>
    <w:rsid w:val="0039458D"/>
    <w:rsid w:val="00394BA7"/>
    <w:rsid w:val="00394DA4"/>
    <w:rsid w:val="003957A7"/>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2E76"/>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3BCA"/>
    <w:rsid w:val="003B4473"/>
    <w:rsid w:val="003B486E"/>
    <w:rsid w:val="003B496F"/>
    <w:rsid w:val="003B5158"/>
    <w:rsid w:val="003B6057"/>
    <w:rsid w:val="003B61C3"/>
    <w:rsid w:val="003B64A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31D"/>
    <w:rsid w:val="003C1DDE"/>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4BE5"/>
    <w:rsid w:val="003C5952"/>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603"/>
    <w:rsid w:val="003D79D8"/>
    <w:rsid w:val="003D7EE1"/>
    <w:rsid w:val="003E0151"/>
    <w:rsid w:val="003E04E1"/>
    <w:rsid w:val="003E052F"/>
    <w:rsid w:val="003E0EFD"/>
    <w:rsid w:val="003E12A6"/>
    <w:rsid w:val="003E1382"/>
    <w:rsid w:val="003E13F3"/>
    <w:rsid w:val="003E15FA"/>
    <w:rsid w:val="003E1DD2"/>
    <w:rsid w:val="003E1E81"/>
    <w:rsid w:val="003E1FF1"/>
    <w:rsid w:val="003E2137"/>
    <w:rsid w:val="003E2236"/>
    <w:rsid w:val="003E2AC9"/>
    <w:rsid w:val="003E2E99"/>
    <w:rsid w:val="003E2EBF"/>
    <w:rsid w:val="003E34D0"/>
    <w:rsid w:val="003E377B"/>
    <w:rsid w:val="003E381F"/>
    <w:rsid w:val="003E3983"/>
    <w:rsid w:val="003E4142"/>
    <w:rsid w:val="003E4197"/>
    <w:rsid w:val="003E4338"/>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1695"/>
    <w:rsid w:val="003F16EF"/>
    <w:rsid w:val="003F1BC2"/>
    <w:rsid w:val="003F2279"/>
    <w:rsid w:val="003F22D0"/>
    <w:rsid w:val="003F2676"/>
    <w:rsid w:val="003F2A24"/>
    <w:rsid w:val="003F2B4E"/>
    <w:rsid w:val="003F2CD4"/>
    <w:rsid w:val="003F2FF1"/>
    <w:rsid w:val="003F33FB"/>
    <w:rsid w:val="003F3A79"/>
    <w:rsid w:val="003F3ABA"/>
    <w:rsid w:val="003F3B96"/>
    <w:rsid w:val="003F46A9"/>
    <w:rsid w:val="003F504A"/>
    <w:rsid w:val="003F505E"/>
    <w:rsid w:val="003F511E"/>
    <w:rsid w:val="003F522C"/>
    <w:rsid w:val="003F5434"/>
    <w:rsid w:val="003F5B51"/>
    <w:rsid w:val="003F6196"/>
    <w:rsid w:val="003F622E"/>
    <w:rsid w:val="003F6BBE"/>
    <w:rsid w:val="003F6C5A"/>
    <w:rsid w:val="003F7222"/>
    <w:rsid w:val="004000E8"/>
    <w:rsid w:val="004004A1"/>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B06"/>
    <w:rsid w:val="00403B07"/>
    <w:rsid w:val="00403D17"/>
    <w:rsid w:val="004043DB"/>
    <w:rsid w:val="00404410"/>
    <w:rsid w:val="0040512B"/>
    <w:rsid w:val="00405388"/>
    <w:rsid w:val="00405CA5"/>
    <w:rsid w:val="00405F2B"/>
    <w:rsid w:val="004060AD"/>
    <w:rsid w:val="004061B3"/>
    <w:rsid w:val="004066D7"/>
    <w:rsid w:val="00406981"/>
    <w:rsid w:val="0040730A"/>
    <w:rsid w:val="00407574"/>
    <w:rsid w:val="00407CD3"/>
    <w:rsid w:val="00410134"/>
    <w:rsid w:val="00410136"/>
    <w:rsid w:val="004101DF"/>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29"/>
    <w:rsid w:val="0041345B"/>
    <w:rsid w:val="00413AAC"/>
    <w:rsid w:val="00413B56"/>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C03"/>
    <w:rsid w:val="00430EA6"/>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9C5"/>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0F3"/>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926"/>
    <w:rsid w:val="004669E2"/>
    <w:rsid w:val="004670CF"/>
    <w:rsid w:val="00467241"/>
    <w:rsid w:val="0046761B"/>
    <w:rsid w:val="004676F3"/>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2F43"/>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87C"/>
    <w:rsid w:val="00484A54"/>
    <w:rsid w:val="00484F5E"/>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16DE"/>
    <w:rsid w:val="00492022"/>
    <w:rsid w:val="004922B0"/>
    <w:rsid w:val="00492335"/>
    <w:rsid w:val="00492624"/>
    <w:rsid w:val="00492790"/>
    <w:rsid w:val="004927B8"/>
    <w:rsid w:val="004928E0"/>
    <w:rsid w:val="00492BC5"/>
    <w:rsid w:val="00492D43"/>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2A"/>
    <w:rsid w:val="004968D0"/>
    <w:rsid w:val="004969C1"/>
    <w:rsid w:val="00496C2D"/>
    <w:rsid w:val="0049709D"/>
    <w:rsid w:val="004973DE"/>
    <w:rsid w:val="00497682"/>
    <w:rsid w:val="00497825"/>
    <w:rsid w:val="00497E3E"/>
    <w:rsid w:val="004A0054"/>
    <w:rsid w:val="004A030E"/>
    <w:rsid w:val="004A036F"/>
    <w:rsid w:val="004A06E1"/>
    <w:rsid w:val="004A12C7"/>
    <w:rsid w:val="004A16BC"/>
    <w:rsid w:val="004A17D0"/>
    <w:rsid w:val="004A180C"/>
    <w:rsid w:val="004A1E94"/>
    <w:rsid w:val="004A2625"/>
    <w:rsid w:val="004A2B05"/>
    <w:rsid w:val="004A2B94"/>
    <w:rsid w:val="004A2BC4"/>
    <w:rsid w:val="004A2CAB"/>
    <w:rsid w:val="004A2CDD"/>
    <w:rsid w:val="004A2E4C"/>
    <w:rsid w:val="004A304C"/>
    <w:rsid w:val="004A3360"/>
    <w:rsid w:val="004A34AB"/>
    <w:rsid w:val="004A34B1"/>
    <w:rsid w:val="004A36F9"/>
    <w:rsid w:val="004A4DDB"/>
    <w:rsid w:val="004A5363"/>
    <w:rsid w:val="004A54F2"/>
    <w:rsid w:val="004A553A"/>
    <w:rsid w:val="004A5841"/>
    <w:rsid w:val="004A5969"/>
    <w:rsid w:val="004A5FFC"/>
    <w:rsid w:val="004A6091"/>
    <w:rsid w:val="004A63AA"/>
    <w:rsid w:val="004A65BC"/>
    <w:rsid w:val="004A6D35"/>
    <w:rsid w:val="004A6E70"/>
    <w:rsid w:val="004A74B6"/>
    <w:rsid w:val="004A789E"/>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675"/>
    <w:rsid w:val="004B4A6F"/>
    <w:rsid w:val="004B4F87"/>
    <w:rsid w:val="004B5005"/>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2F18"/>
    <w:rsid w:val="004C31B8"/>
    <w:rsid w:val="004C373F"/>
    <w:rsid w:val="004C3898"/>
    <w:rsid w:val="004C38D1"/>
    <w:rsid w:val="004C3949"/>
    <w:rsid w:val="004C3A01"/>
    <w:rsid w:val="004C496E"/>
    <w:rsid w:val="004C4A35"/>
    <w:rsid w:val="004C4C40"/>
    <w:rsid w:val="004C4C5B"/>
    <w:rsid w:val="004C53FD"/>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2F58"/>
    <w:rsid w:val="004D34CC"/>
    <w:rsid w:val="004D36B1"/>
    <w:rsid w:val="004D3ADB"/>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140"/>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A0"/>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24B"/>
    <w:rsid w:val="00503312"/>
    <w:rsid w:val="0050390B"/>
    <w:rsid w:val="00504D9C"/>
    <w:rsid w:val="00504E2B"/>
    <w:rsid w:val="00504F0D"/>
    <w:rsid w:val="0050505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491"/>
    <w:rsid w:val="00515829"/>
    <w:rsid w:val="00515976"/>
    <w:rsid w:val="005159D0"/>
    <w:rsid w:val="00515B13"/>
    <w:rsid w:val="00515E2A"/>
    <w:rsid w:val="0051627B"/>
    <w:rsid w:val="005174F0"/>
    <w:rsid w:val="00517A94"/>
    <w:rsid w:val="00517F12"/>
    <w:rsid w:val="00517F31"/>
    <w:rsid w:val="00517FB9"/>
    <w:rsid w:val="00520115"/>
    <w:rsid w:val="005204BD"/>
    <w:rsid w:val="00520B9C"/>
    <w:rsid w:val="00520E74"/>
    <w:rsid w:val="00521599"/>
    <w:rsid w:val="005219CF"/>
    <w:rsid w:val="00521AEC"/>
    <w:rsid w:val="00521BC9"/>
    <w:rsid w:val="00521ECB"/>
    <w:rsid w:val="00521FF5"/>
    <w:rsid w:val="005226A2"/>
    <w:rsid w:val="00522778"/>
    <w:rsid w:val="005234D5"/>
    <w:rsid w:val="0052398C"/>
    <w:rsid w:val="00523C24"/>
    <w:rsid w:val="00523C82"/>
    <w:rsid w:val="00523C8F"/>
    <w:rsid w:val="00523D2D"/>
    <w:rsid w:val="00524077"/>
    <w:rsid w:val="00524136"/>
    <w:rsid w:val="005243D6"/>
    <w:rsid w:val="00524B66"/>
    <w:rsid w:val="00524C0E"/>
    <w:rsid w:val="00525E5C"/>
    <w:rsid w:val="00525ED3"/>
    <w:rsid w:val="00525F10"/>
    <w:rsid w:val="00526385"/>
    <w:rsid w:val="005263DC"/>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8B1"/>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4D8"/>
    <w:rsid w:val="0053757C"/>
    <w:rsid w:val="005375BF"/>
    <w:rsid w:val="00537A4A"/>
    <w:rsid w:val="00537B23"/>
    <w:rsid w:val="00537BD5"/>
    <w:rsid w:val="00537C15"/>
    <w:rsid w:val="00537C62"/>
    <w:rsid w:val="00537DE3"/>
    <w:rsid w:val="00540912"/>
    <w:rsid w:val="00540958"/>
    <w:rsid w:val="00540F06"/>
    <w:rsid w:val="00541091"/>
    <w:rsid w:val="00541A27"/>
    <w:rsid w:val="005427B3"/>
    <w:rsid w:val="005428C9"/>
    <w:rsid w:val="005429CB"/>
    <w:rsid w:val="00542D03"/>
    <w:rsid w:val="00543388"/>
    <w:rsid w:val="00543880"/>
    <w:rsid w:val="00543A2E"/>
    <w:rsid w:val="00543D50"/>
    <w:rsid w:val="00544145"/>
    <w:rsid w:val="00544AB3"/>
    <w:rsid w:val="00544DD7"/>
    <w:rsid w:val="0054518E"/>
    <w:rsid w:val="005453AF"/>
    <w:rsid w:val="00545821"/>
    <w:rsid w:val="00545D0F"/>
    <w:rsid w:val="00545ED7"/>
    <w:rsid w:val="005462EB"/>
    <w:rsid w:val="00546390"/>
    <w:rsid w:val="005467CD"/>
    <w:rsid w:val="00546970"/>
    <w:rsid w:val="00546CEE"/>
    <w:rsid w:val="00546DEF"/>
    <w:rsid w:val="005471F3"/>
    <w:rsid w:val="0054778F"/>
    <w:rsid w:val="005479CE"/>
    <w:rsid w:val="00547C24"/>
    <w:rsid w:val="005501D9"/>
    <w:rsid w:val="00551566"/>
    <w:rsid w:val="00551B32"/>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41B"/>
    <w:rsid w:val="0055571D"/>
    <w:rsid w:val="005562B5"/>
    <w:rsid w:val="00556451"/>
    <w:rsid w:val="00556494"/>
    <w:rsid w:val="00556AD8"/>
    <w:rsid w:val="00556ADA"/>
    <w:rsid w:val="00556B62"/>
    <w:rsid w:val="00556C16"/>
    <w:rsid w:val="00556C5F"/>
    <w:rsid w:val="00556C79"/>
    <w:rsid w:val="0055704D"/>
    <w:rsid w:val="005579F9"/>
    <w:rsid w:val="00557C5D"/>
    <w:rsid w:val="00560101"/>
    <w:rsid w:val="0056029F"/>
    <w:rsid w:val="005603C1"/>
    <w:rsid w:val="00561095"/>
    <w:rsid w:val="005610BF"/>
    <w:rsid w:val="005610F2"/>
    <w:rsid w:val="0056121F"/>
    <w:rsid w:val="00561408"/>
    <w:rsid w:val="005620AC"/>
    <w:rsid w:val="0056215D"/>
    <w:rsid w:val="0056228C"/>
    <w:rsid w:val="005628D5"/>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2F5"/>
    <w:rsid w:val="00565A13"/>
    <w:rsid w:val="00565BD0"/>
    <w:rsid w:val="00565ED2"/>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43"/>
    <w:rsid w:val="00574855"/>
    <w:rsid w:val="005748D3"/>
    <w:rsid w:val="005749E8"/>
    <w:rsid w:val="00574DFE"/>
    <w:rsid w:val="00575711"/>
    <w:rsid w:val="00575BAA"/>
    <w:rsid w:val="00575ED8"/>
    <w:rsid w:val="005764B8"/>
    <w:rsid w:val="005764FA"/>
    <w:rsid w:val="0057692F"/>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2E11"/>
    <w:rsid w:val="00583023"/>
    <w:rsid w:val="0058307B"/>
    <w:rsid w:val="00583769"/>
    <w:rsid w:val="005839CF"/>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37FC"/>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7E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6B4"/>
    <w:rsid w:val="005B7BF6"/>
    <w:rsid w:val="005C06A8"/>
    <w:rsid w:val="005C0B25"/>
    <w:rsid w:val="005C0EB6"/>
    <w:rsid w:val="005C0EC8"/>
    <w:rsid w:val="005C0EE6"/>
    <w:rsid w:val="005C0F66"/>
    <w:rsid w:val="005C11E3"/>
    <w:rsid w:val="005C1A93"/>
    <w:rsid w:val="005C1D1D"/>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700A"/>
    <w:rsid w:val="005C7361"/>
    <w:rsid w:val="005C74FB"/>
    <w:rsid w:val="005C7591"/>
    <w:rsid w:val="005C7874"/>
    <w:rsid w:val="005C7A6C"/>
    <w:rsid w:val="005C7ADB"/>
    <w:rsid w:val="005D058E"/>
    <w:rsid w:val="005D07D8"/>
    <w:rsid w:val="005D0A42"/>
    <w:rsid w:val="005D1602"/>
    <w:rsid w:val="005D1771"/>
    <w:rsid w:val="005D183A"/>
    <w:rsid w:val="005D1AF9"/>
    <w:rsid w:val="005D1DAC"/>
    <w:rsid w:val="005D213D"/>
    <w:rsid w:val="005D25B4"/>
    <w:rsid w:val="005D2B14"/>
    <w:rsid w:val="005D2E55"/>
    <w:rsid w:val="005D3105"/>
    <w:rsid w:val="005D3144"/>
    <w:rsid w:val="005D38F5"/>
    <w:rsid w:val="005D42DE"/>
    <w:rsid w:val="005D44A5"/>
    <w:rsid w:val="005D4762"/>
    <w:rsid w:val="005D4957"/>
    <w:rsid w:val="005D540A"/>
    <w:rsid w:val="005D59D2"/>
    <w:rsid w:val="005D5D02"/>
    <w:rsid w:val="005D5DAE"/>
    <w:rsid w:val="005D6164"/>
    <w:rsid w:val="005D630E"/>
    <w:rsid w:val="005D676A"/>
    <w:rsid w:val="005D685F"/>
    <w:rsid w:val="005D6BA1"/>
    <w:rsid w:val="005D6DBF"/>
    <w:rsid w:val="005D7B89"/>
    <w:rsid w:val="005D7C7F"/>
    <w:rsid w:val="005D7FBB"/>
    <w:rsid w:val="005E0721"/>
    <w:rsid w:val="005E0873"/>
    <w:rsid w:val="005E1111"/>
    <w:rsid w:val="005E1190"/>
    <w:rsid w:val="005E11AB"/>
    <w:rsid w:val="005E1261"/>
    <w:rsid w:val="005E15BB"/>
    <w:rsid w:val="005E161B"/>
    <w:rsid w:val="005E1ADB"/>
    <w:rsid w:val="005E1CCE"/>
    <w:rsid w:val="005E1D68"/>
    <w:rsid w:val="005E1FE2"/>
    <w:rsid w:val="005E203D"/>
    <w:rsid w:val="005E230E"/>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1B"/>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26B"/>
    <w:rsid w:val="005F6F63"/>
    <w:rsid w:val="005F70BD"/>
    <w:rsid w:val="005F72A8"/>
    <w:rsid w:val="005F741F"/>
    <w:rsid w:val="005F743D"/>
    <w:rsid w:val="005F7678"/>
    <w:rsid w:val="005F79BE"/>
    <w:rsid w:val="005F7A66"/>
    <w:rsid w:val="005F7AF4"/>
    <w:rsid w:val="00600395"/>
    <w:rsid w:val="00600568"/>
    <w:rsid w:val="006005B7"/>
    <w:rsid w:val="006006C5"/>
    <w:rsid w:val="00600A78"/>
    <w:rsid w:val="00600E14"/>
    <w:rsid w:val="0060153D"/>
    <w:rsid w:val="00601E42"/>
    <w:rsid w:val="006020AD"/>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73D"/>
    <w:rsid w:val="006069D9"/>
    <w:rsid w:val="00607384"/>
    <w:rsid w:val="006078FA"/>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B4"/>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0FB3"/>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298"/>
    <w:rsid w:val="006243A5"/>
    <w:rsid w:val="00624593"/>
    <w:rsid w:val="00624597"/>
    <w:rsid w:val="0062490A"/>
    <w:rsid w:val="00624926"/>
    <w:rsid w:val="00624929"/>
    <w:rsid w:val="00625294"/>
    <w:rsid w:val="006254BF"/>
    <w:rsid w:val="00625616"/>
    <w:rsid w:val="00625709"/>
    <w:rsid w:val="00625992"/>
    <w:rsid w:val="00625C52"/>
    <w:rsid w:val="00625CFE"/>
    <w:rsid w:val="00625F99"/>
    <w:rsid w:val="0062621A"/>
    <w:rsid w:val="00626656"/>
    <w:rsid w:val="00626CF6"/>
    <w:rsid w:val="00627570"/>
    <w:rsid w:val="00627763"/>
    <w:rsid w:val="00627D32"/>
    <w:rsid w:val="00630001"/>
    <w:rsid w:val="0063026F"/>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318"/>
    <w:rsid w:val="006444C6"/>
    <w:rsid w:val="006447AF"/>
    <w:rsid w:val="00644A43"/>
    <w:rsid w:val="0064545F"/>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A49"/>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4E5E"/>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64B"/>
    <w:rsid w:val="006707A8"/>
    <w:rsid w:val="00670922"/>
    <w:rsid w:val="00670BE1"/>
    <w:rsid w:val="00670D7C"/>
    <w:rsid w:val="0067122D"/>
    <w:rsid w:val="00671554"/>
    <w:rsid w:val="00671740"/>
    <w:rsid w:val="00671D4B"/>
    <w:rsid w:val="00672136"/>
    <w:rsid w:val="00672173"/>
    <w:rsid w:val="0067218F"/>
    <w:rsid w:val="006722A9"/>
    <w:rsid w:val="0067252D"/>
    <w:rsid w:val="006727B1"/>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539"/>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76B"/>
    <w:rsid w:val="006908F2"/>
    <w:rsid w:val="00690993"/>
    <w:rsid w:val="00690B33"/>
    <w:rsid w:val="00690B81"/>
    <w:rsid w:val="00690D14"/>
    <w:rsid w:val="0069118E"/>
    <w:rsid w:val="0069118F"/>
    <w:rsid w:val="00691454"/>
    <w:rsid w:val="0069175B"/>
    <w:rsid w:val="00691865"/>
    <w:rsid w:val="006919CE"/>
    <w:rsid w:val="00691E4F"/>
    <w:rsid w:val="0069240E"/>
    <w:rsid w:val="0069310F"/>
    <w:rsid w:val="00693B14"/>
    <w:rsid w:val="00694251"/>
    <w:rsid w:val="00694F2E"/>
    <w:rsid w:val="006950E1"/>
    <w:rsid w:val="006950FC"/>
    <w:rsid w:val="006954E6"/>
    <w:rsid w:val="006955A4"/>
    <w:rsid w:val="00695766"/>
    <w:rsid w:val="00695A13"/>
    <w:rsid w:val="00695B0D"/>
    <w:rsid w:val="00695DB8"/>
    <w:rsid w:val="00695FC2"/>
    <w:rsid w:val="00696485"/>
    <w:rsid w:val="00696949"/>
    <w:rsid w:val="00696DF9"/>
    <w:rsid w:val="00696F9F"/>
    <w:rsid w:val="00697052"/>
    <w:rsid w:val="006970C6"/>
    <w:rsid w:val="006976F9"/>
    <w:rsid w:val="006977C1"/>
    <w:rsid w:val="00697876"/>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04"/>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BE"/>
    <w:rsid w:val="006B7B22"/>
    <w:rsid w:val="006B7ED3"/>
    <w:rsid w:val="006C035E"/>
    <w:rsid w:val="006C03B8"/>
    <w:rsid w:val="006C068E"/>
    <w:rsid w:val="006C12D9"/>
    <w:rsid w:val="006C1593"/>
    <w:rsid w:val="006C19F3"/>
    <w:rsid w:val="006C1B6E"/>
    <w:rsid w:val="006C1FE1"/>
    <w:rsid w:val="006C20AB"/>
    <w:rsid w:val="006C223A"/>
    <w:rsid w:val="006C22B1"/>
    <w:rsid w:val="006C251A"/>
    <w:rsid w:val="006C280A"/>
    <w:rsid w:val="006C2A53"/>
    <w:rsid w:val="006C2F77"/>
    <w:rsid w:val="006C313E"/>
    <w:rsid w:val="006C384C"/>
    <w:rsid w:val="006C387C"/>
    <w:rsid w:val="006C3B83"/>
    <w:rsid w:val="006C4068"/>
    <w:rsid w:val="006C44EF"/>
    <w:rsid w:val="006C4559"/>
    <w:rsid w:val="006C456A"/>
    <w:rsid w:val="006C4699"/>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2101"/>
    <w:rsid w:val="006D2143"/>
    <w:rsid w:val="006D23F0"/>
    <w:rsid w:val="006D24F1"/>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2F"/>
    <w:rsid w:val="006F1B70"/>
    <w:rsid w:val="006F1CE0"/>
    <w:rsid w:val="006F1D30"/>
    <w:rsid w:val="006F202D"/>
    <w:rsid w:val="006F20A7"/>
    <w:rsid w:val="006F266F"/>
    <w:rsid w:val="006F29C2"/>
    <w:rsid w:val="006F29ED"/>
    <w:rsid w:val="006F341D"/>
    <w:rsid w:val="006F3830"/>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E96"/>
    <w:rsid w:val="006F6FEB"/>
    <w:rsid w:val="006F70D2"/>
    <w:rsid w:val="006F759C"/>
    <w:rsid w:val="006F7733"/>
    <w:rsid w:val="006F7D59"/>
    <w:rsid w:val="00700878"/>
    <w:rsid w:val="00700BBE"/>
    <w:rsid w:val="00700BCE"/>
    <w:rsid w:val="00700C44"/>
    <w:rsid w:val="007010B1"/>
    <w:rsid w:val="0070154D"/>
    <w:rsid w:val="0070155B"/>
    <w:rsid w:val="00701966"/>
    <w:rsid w:val="00701B1B"/>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C4A"/>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A8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597"/>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4DC"/>
    <w:rsid w:val="00730834"/>
    <w:rsid w:val="00731663"/>
    <w:rsid w:val="00731D42"/>
    <w:rsid w:val="00731E68"/>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28C"/>
    <w:rsid w:val="00735878"/>
    <w:rsid w:val="00735DC7"/>
    <w:rsid w:val="00735E0F"/>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1FE3"/>
    <w:rsid w:val="00742271"/>
    <w:rsid w:val="00742E35"/>
    <w:rsid w:val="007431F4"/>
    <w:rsid w:val="0074338F"/>
    <w:rsid w:val="007433BA"/>
    <w:rsid w:val="0074362F"/>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6F18"/>
    <w:rsid w:val="00747D8B"/>
    <w:rsid w:val="007502BF"/>
    <w:rsid w:val="007504DC"/>
    <w:rsid w:val="00750530"/>
    <w:rsid w:val="0075063B"/>
    <w:rsid w:val="00750E5D"/>
    <w:rsid w:val="00751048"/>
    <w:rsid w:val="00751228"/>
    <w:rsid w:val="00751233"/>
    <w:rsid w:val="00751685"/>
    <w:rsid w:val="00751715"/>
    <w:rsid w:val="00751752"/>
    <w:rsid w:val="007517F2"/>
    <w:rsid w:val="007519EB"/>
    <w:rsid w:val="00751A57"/>
    <w:rsid w:val="00751EC8"/>
    <w:rsid w:val="00752033"/>
    <w:rsid w:val="00752798"/>
    <w:rsid w:val="00752CE4"/>
    <w:rsid w:val="007530E1"/>
    <w:rsid w:val="00754773"/>
    <w:rsid w:val="0075478C"/>
    <w:rsid w:val="007548FA"/>
    <w:rsid w:val="007550D5"/>
    <w:rsid w:val="0075558E"/>
    <w:rsid w:val="0075588C"/>
    <w:rsid w:val="0075626B"/>
    <w:rsid w:val="0075647C"/>
    <w:rsid w:val="00756784"/>
    <w:rsid w:val="00757006"/>
    <w:rsid w:val="007571E1"/>
    <w:rsid w:val="007572BF"/>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437"/>
    <w:rsid w:val="007628C9"/>
    <w:rsid w:val="007635E8"/>
    <w:rsid w:val="00763B0C"/>
    <w:rsid w:val="00763BC6"/>
    <w:rsid w:val="00763C95"/>
    <w:rsid w:val="00763F4E"/>
    <w:rsid w:val="0076501A"/>
    <w:rsid w:val="00765281"/>
    <w:rsid w:val="0076560A"/>
    <w:rsid w:val="007656DA"/>
    <w:rsid w:val="00765B62"/>
    <w:rsid w:val="00765B72"/>
    <w:rsid w:val="00765BE8"/>
    <w:rsid w:val="00765D27"/>
    <w:rsid w:val="00765D2E"/>
    <w:rsid w:val="00766008"/>
    <w:rsid w:val="007664B4"/>
    <w:rsid w:val="00766605"/>
    <w:rsid w:val="00766726"/>
    <w:rsid w:val="00766BAD"/>
    <w:rsid w:val="00766C5D"/>
    <w:rsid w:val="00766E43"/>
    <w:rsid w:val="00766FD3"/>
    <w:rsid w:val="007670C0"/>
    <w:rsid w:val="007671CC"/>
    <w:rsid w:val="00767403"/>
    <w:rsid w:val="007675EE"/>
    <w:rsid w:val="0077033E"/>
    <w:rsid w:val="00770A00"/>
    <w:rsid w:val="00770CD7"/>
    <w:rsid w:val="0077117A"/>
    <w:rsid w:val="0077135D"/>
    <w:rsid w:val="0077188D"/>
    <w:rsid w:val="00771A51"/>
    <w:rsid w:val="00771F8E"/>
    <w:rsid w:val="00772090"/>
    <w:rsid w:val="007729A2"/>
    <w:rsid w:val="007734A5"/>
    <w:rsid w:val="007735ED"/>
    <w:rsid w:val="00773A43"/>
    <w:rsid w:val="00773E49"/>
    <w:rsid w:val="00773F33"/>
    <w:rsid w:val="00773F7F"/>
    <w:rsid w:val="00774038"/>
    <w:rsid w:val="00774404"/>
    <w:rsid w:val="007746D3"/>
    <w:rsid w:val="00774ABE"/>
    <w:rsid w:val="00774C72"/>
    <w:rsid w:val="00774D7C"/>
    <w:rsid w:val="00774EC3"/>
    <w:rsid w:val="00775252"/>
    <w:rsid w:val="007755F2"/>
    <w:rsid w:val="00775F73"/>
    <w:rsid w:val="00776971"/>
    <w:rsid w:val="007769E6"/>
    <w:rsid w:val="00776D1B"/>
    <w:rsid w:val="007771B5"/>
    <w:rsid w:val="00777C30"/>
    <w:rsid w:val="00780038"/>
    <w:rsid w:val="00780A80"/>
    <w:rsid w:val="00780EF3"/>
    <w:rsid w:val="0078159A"/>
    <w:rsid w:val="007815B0"/>
    <w:rsid w:val="0078177E"/>
    <w:rsid w:val="00781A80"/>
    <w:rsid w:val="00781D3E"/>
    <w:rsid w:val="00781F29"/>
    <w:rsid w:val="00782A60"/>
    <w:rsid w:val="00783008"/>
    <w:rsid w:val="0078304C"/>
    <w:rsid w:val="00783097"/>
    <w:rsid w:val="00783377"/>
    <w:rsid w:val="007834C3"/>
    <w:rsid w:val="00783673"/>
    <w:rsid w:val="00783679"/>
    <w:rsid w:val="007837EA"/>
    <w:rsid w:val="00783A8E"/>
    <w:rsid w:val="00783BD4"/>
    <w:rsid w:val="00783EFD"/>
    <w:rsid w:val="0078401D"/>
    <w:rsid w:val="00784101"/>
    <w:rsid w:val="007844DC"/>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AB"/>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97895"/>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5275"/>
    <w:rsid w:val="007A529C"/>
    <w:rsid w:val="007A52D3"/>
    <w:rsid w:val="007A52EF"/>
    <w:rsid w:val="007A5806"/>
    <w:rsid w:val="007A58A6"/>
    <w:rsid w:val="007A5BB1"/>
    <w:rsid w:val="007A60BC"/>
    <w:rsid w:val="007A63E2"/>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7"/>
    <w:rsid w:val="007B47CB"/>
    <w:rsid w:val="007B489F"/>
    <w:rsid w:val="007B4FB8"/>
    <w:rsid w:val="007B50AE"/>
    <w:rsid w:val="007B5168"/>
    <w:rsid w:val="007B51DF"/>
    <w:rsid w:val="007B543C"/>
    <w:rsid w:val="007B553E"/>
    <w:rsid w:val="007B5579"/>
    <w:rsid w:val="007B5E9E"/>
    <w:rsid w:val="007B5EE4"/>
    <w:rsid w:val="007B66AC"/>
    <w:rsid w:val="007B6967"/>
    <w:rsid w:val="007B6D12"/>
    <w:rsid w:val="007B70CF"/>
    <w:rsid w:val="007B71CE"/>
    <w:rsid w:val="007B744B"/>
    <w:rsid w:val="007B76F3"/>
    <w:rsid w:val="007B7770"/>
    <w:rsid w:val="007B7782"/>
    <w:rsid w:val="007B793A"/>
    <w:rsid w:val="007B7AA7"/>
    <w:rsid w:val="007C01ED"/>
    <w:rsid w:val="007C04DA"/>
    <w:rsid w:val="007C05DD"/>
    <w:rsid w:val="007C103C"/>
    <w:rsid w:val="007C1586"/>
    <w:rsid w:val="007C1676"/>
    <w:rsid w:val="007C219F"/>
    <w:rsid w:val="007C2268"/>
    <w:rsid w:val="007C25E0"/>
    <w:rsid w:val="007C3428"/>
    <w:rsid w:val="007C3574"/>
    <w:rsid w:val="007C37CC"/>
    <w:rsid w:val="007C3AD2"/>
    <w:rsid w:val="007C3CA2"/>
    <w:rsid w:val="007C3D18"/>
    <w:rsid w:val="007C4604"/>
    <w:rsid w:val="007C48CD"/>
    <w:rsid w:val="007C49BE"/>
    <w:rsid w:val="007C4AAF"/>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336"/>
    <w:rsid w:val="007E0527"/>
    <w:rsid w:val="007E06DE"/>
    <w:rsid w:val="007E0A23"/>
    <w:rsid w:val="007E1109"/>
    <w:rsid w:val="007E117E"/>
    <w:rsid w:val="007E1639"/>
    <w:rsid w:val="007E2F90"/>
    <w:rsid w:val="007E3180"/>
    <w:rsid w:val="007E39C3"/>
    <w:rsid w:val="007E3C36"/>
    <w:rsid w:val="007E4165"/>
    <w:rsid w:val="007E4317"/>
    <w:rsid w:val="007E4610"/>
    <w:rsid w:val="007E4715"/>
    <w:rsid w:val="007E4AA9"/>
    <w:rsid w:val="007E4B13"/>
    <w:rsid w:val="007E4BEC"/>
    <w:rsid w:val="007E505B"/>
    <w:rsid w:val="007E5385"/>
    <w:rsid w:val="007E54CD"/>
    <w:rsid w:val="007E5931"/>
    <w:rsid w:val="007E5B14"/>
    <w:rsid w:val="007E5FFD"/>
    <w:rsid w:val="007E61A7"/>
    <w:rsid w:val="007E6318"/>
    <w:rsid w:val="007E670F"/>
    <w:rsid w:val="007E69BF"/>
    <w:rsid w:val="007E6DF4"/>
    <w:rsid w:val="007E7091"/>
    <w:rsid w:val="007E725D"/>
    <w:rsid w:val="007E7CD4"/>
    <w:rsid w:val="007E7EDE"/>
    <w:rsid w:val="007F0564"/>
    <w:rsid w:val="007F0E47"/>
    <w:rsid w:val="007F129B"/>
    <w:rsid w:val="007F1F16"/>
    <w:rsid w:val="007F220D"/>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487"/>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8AD"/>
    <w:rsid w:val="00811E8C"/>
    <w:rsid w:val="00811FCB"/>
    <w:rsid w:val="00812375"/>
    <w:rsid w:val="00812B53"/>
    <w:rsid w:val="00812F36"/>
    <w:rsid w:val="00812F91"/>
    <w:rsid w:val="0081338A"/>
    <w:rsid w:val="0081355A"/>
    <w:rsid w:val="00813922"/>
    <w:rsid w:val="00813A68"/>
    <w:rsid w:val="00813BE7"/>
    <w:rsid w:val="00813CC1"/>
    <w:rsid w:val="00813D2E"/>
    <w:rsid w:val="00813EEE"/>
    <w:rsid w:val="00813F3F"/>
    <w:rsid w:val="00813F81"/>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BC0"/>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853"/>
    <w:rsid w:val="00823CBE"/>
    <w:rsid w:val="00824AB4"/>
    <w:rsid w:val="00824F35"/>
    <w:rsid w:val="008255D4"/>
    <w:rsid w:val="00825692"/>
    <w:rsid w:val="00825703"/>
    <w:rsid w:val="00825C42"/>
    <w:rsid w:val="00825D0C"/>
    <w:rsid w:val="00825D25"/>
    <w:rsid w:val="00825D3C"/>
    <w:rsid w:val="008262A4"/>
    <w:rsid w:val="00826718"/>
    <w:rsid w:val="008269A8"/>
    <w:rsid w:val="00826A9C"/>
    <w:rsid w:val="00826BEA"/>
    <w:rsid w:val="00826DEE"/>
    <w:rsid w:val="0082734B"/>
    <w:rsid w:val="00827364"/>
    <w:rsid w:val="0082782E"/>
    <w:rsid w:val="008278F4"/>
    <w:rsid w:val="00827A3A"/>
    <w:rsid w:val="00827CEC"/>
    <w:rsid w:val="00827D6F"/>
    <w:rsid w:val="0083060D"/>
    <w:rsid w:val="00830A19"/>
    <w:rsid w:val="00830B9F"/>
    <w:rsid w:val="00830CD0"/>
    <w:rsid w:val="0083107F"/>
    <w:rsid w:val="0083118A"/>
    <w:rsid w:val="00831E41"/>
    <w:rsid w:val="00831F5F"/>
    <w:rsid w:val="00832335"/>
    <w:rsid w:val="00832D25"/>
    <w:rsid w:val="00832EE2"/>
    <w:rsid w:val="00832FA2"/>
    <w:rsid w:val="00833260"/>
    <w:rsid w:val="00833706"/>
    <w:rsid w:val="00833C88"/>
    <w:rsid w:val="0083417C"/>
    <w:rsid w:val="0083436F"/>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99"/>
    <w:rsid w:val="00851BD0"/>
    <w:rsid w:val="00852698"/>
    <w:rsid w:val="008527A3"/>
    <w:rsid w:val="00852924"/>
    <w:rsid w:val="008534B0"/>
    <w:rsid w:val="00853904"/>
    <w:rsid w:val="00854038"/>
    <w:rsid w:val="00854157"/>
    <w:rsid w:val="0085443D"/>
    <w:rsid w:val="0085507C"/>
    <w:rsid w:val="008555D2"/>
    <w:rsid w:val="008559AA"/>
    <w:rsid w:val="00855A3D"/>
    <w:rsid w:val="00855F0A"/>
    <w:rsid w:val="008560C1"/>
    <w:rsid w:val="008561D0"/>
    <w:rsid w:val="0085637B"/>
    <w:rsid w:val="00856454"/>
    <w:rsid w:val="00856536"/>
    <w:rsid w:val="008566C0"/>
    <w:rsid w:val="00856911"/>
    <w:rsid w:val="00856926"/>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936"/>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990"/>
    <w:rsid w:val="00886A4E"/>
    <w:rsid w:val="00886E57"/>
    <w:rsid w:val="008870AA"/>
    <w:rsid w:val="00887A6B"/>
    <w:rsid w:val="00887C82"/>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B57"/>
    <w:rsid w:val="00892D04"/>
    <w:rsid w:val="00892FE8"/>
    <w:rsid w:val="00893354"/>
    <w:rsid w:val="008933C0"/>
    <w:rsid w:val="008934AD"/>
    <w:rsid w:val="008937D6"/>
    <w:rsid w:val="00893B19"/>
    <w:rsid w:val="008941E3"/>
    <w:rsid w:val="00894258"/>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1047"/>
    <w:rsid w:val="008A1241"/>
    <w:rsid w:val="008A137C"/>
    <w:rsid w:val="008A1A07"/>
    <w:rsid w:val="008A2039"/>
    <w:rsid w:val="008A20CA"/>
    <w:rsid w:val="008A21FF"/>
    <w:rsid w:val="008A259D"/>
    <w:rsid w:val="008A2861"/>
    <w:rsid w:val="008A28CB"/>
    <w:rsid w:val="008A2AD6"/>
    <w:rsid w:val="008A2CE2"/>
    <w:rsid w:val="008A30AC"/>
    <w:rsid w:val="008A316E"/>
    <w:rsid w:val="008A33D5"/>
    <w:rsid w:val="008A3964"/>
    <w:rsid w:val="008A3CC3"/>
    <w:rsid w:val="008A4096"/>
    <w:rsid w:val="008A44B8"/>
    <w:rsid w:val="008A44E3"/>
    <w:rsid w:val="008A4A19"/>
    <w:rsid w:val="008A4C5E"/>
    <w:rsid w:val="008A502B"/>
    <w:rsid w:val="008A51A8"/>
    <w:rsid w:val="008A5201"/>
    <w:rsid w:val="008A528D"/>
    <w:rsid w:val="008A54C7"/>
    <w:rsid w:val="008A5764"/>
    <w:rsid w:val="008A57D2"/>
    <w:rsid w:val="008A584D"/>
    <w:rsid w:val="008A5984"/>
    <w:rsid w:val="008A5CB2"/>
    <w:rsid w:val="008A5E34"/>
    <w:rsid w:val="008A5FAE"/>
    <w:rsid w:val="008A5FC0"/>
    <w:rsid w:val="008A60A1"/>
    <w:rsid w:val="008A6230"/>
    <w:rsid w:val="008A6435"/>
    <w:rsid w:val="008A68B1"/>
    <w:rsid w:val="008A7193"/>
    <w:rsid w:val="008A7198"/>
    <w:rsid w:val="008A73D0"/>
    <w:rsid w:val="008A754F"/>
    <w:rsid w:val="008A77D8"/>
    <w:rsid w:val="008A79F1"/>
    <w:rsid w:val="008A7F70"/>
    <w:rsid w:val="008B007F"/>
    <w:rsid w:val="008B0414"/>
    <w:rsid w:val="008B0483"/>
    <w:rsid w:val="008B062E"/>
    <w:rsid w:val="008B0B15"/>
    <w:rsid w:val="008B1018"/>
    <w:rsid w:val="008B120C"/>
    <w:rsid w:val="008B2166"/>
    <w:rsid w:val="008B25E0"/>
    <w:rsid w:val="008B2AF8"/>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1B18"/>
    <w:rsid w:val="008C1B8A"/>
    <w:rsid w:val="008C1C81"/>
    <w:rsid w:val="008C1F50"/>
    <w:rsid w:val="008C2017"/>
    <w:rsid w:val="008C21D1"/>
    <w:rsid w:val="008C227B"/>
    <w:rsid w:val="008C22A6"/>
    <w:rsid w:val="008C2776"/>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D7C33"/>
    <w:rsid w:val="008E065E"/>
    <w:rsid w:val="008E0927"/>
    <w:rsid w:val="008E0A02"/>
    <w:rsid w:val="008E0E39"/>
    <w:rsid w:val="008E112E"/>
    <w:rsid w:val="008E188C"/>
    <w:rsid w:val="008E1909"/>
    <w:rsid w:val="008E1913"/>
    <w:rsid w:val="008E1C57"/>
    <w:rsid w:val="008E264F"/>
    <w:rsid w:val="008E2C8C"/>
    <w:rsid w:val="008E2E86"/>
    <w:rsid w:val="008E36F3"/>
    <w:rsid w:val="008E3B1D"/>
    <w:rsid w:val="008E3DAD"/>
    <w:rsid w:val="008E4540"/>
    <w:rsid w:val="008E46B4"/>
    <w:rsid w:val="008E592A"/>
    <w:rsid w:val="008E593D"/>
    <w:rsid w:val="008E5F48"/>
    <w:rsid w:val="008E61B4"/>
    <w:rsid w:val="008E6A77"/>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713"/>
    <w:rsid w:val="008F57D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022"/>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7A5"/>
    <w:rsid w:val="00912E97"/>
    <w:rsid w:val="00912F45"/>
    <w:rsid w:val="00913445"/>
    <w:rsid w:val="009137C8"/>
    <w:rsid w:val="009138C5"/>
    <w:rsid w:val="009139D9"/>
    <w:rsid w:val="00913A26"/>
    <w:rsid w:val="00913CC7"/>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BF2"/>
    <w:rsid w:val="00920C40"/>
    <w:rsid w:val="00920E10"/>
    <w:rsid w:val="0092100C"/>
    <w:rsid w:val="009211A0"/>
    <w:rsid w:val="00921531"/>
    <w:rsid w:val="00922010"/>
    <w:rsid w:val="0092206A"/>
    <w:rsid w:val="0092219C"/>
    <w:rsid w:val="00922516"/>
    <w:rsid w:val="00922584"/>
    <w:rsid w:val="009227CE"/>
    <w:rsid w:val="009229BA"/>
    <w:rsid w:val="00922F94"/>
    <w:rsid w:val="00923060"/>
    <w:rsid w:val="00923127"/>
    <w:rsid w:val="009234EE"/>
    <w:rsid w:val="009237C6"/>
    <w:rsid w:val="00923DC2"/>
    <w:rsid w:val="00923DC3"/>
    <w:rsid w:val="00923EEC"/>
    <w:rsid w:val="0092456D"/>
    <w:rsid w:val="00924C01"/>
    <w:rsid w:val="00924D27"/>
    <w:rsid w:val="0092531F"/>
    <w:rsid w:val="009254B5"/>
    <w:rsid w:val="0092561B"/>
    <w:rsid w:val="00925A72"/>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26C"/>
    <w:rsid w:val="00935456"/>
    <w:rsid w:val="00935607"/>
    <w:rsid w:val="009356B9"/>
    <w:rsid w:val="00935A2F"/>
    <w:rsid w:val="00935A88"/>
    <w:rsid w:val="00936194"/>
    <w:rsid w:val="00936363"/>
    <w:rsid w:val="00936643"/>
    <w:rsid w:val="009368F3"/>
    <w:rsid w:val="00936A93"/>
    <w:rsid w:val="009371F3"/>
    <w:rsid w:val="00937680"/>
    <w:rsid w:val="00937A16"/>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5AD"/>
    <w:rsid w:val="00944A88"/>
    <w:rsid w:val="00944BFC"/>
    <w:rsid w:val="00945338"/>
    <w:rsid w:val="00945535"/>
    <w:rsid w:val="00945794"/>
    <w:rsid w:val="00945884"/>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5963"/>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75E"/>
    <w:rsid w:val="00963C47"/>
    <w:rsid w:val="00963DDA"/>
    <w:rsid w:val="00963E9D"/>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128"/>
    <w:rsid w:val="009825E7"/>
    <w:rsid w:val="009837CB"/>
    <w:rsid w:val="009838C9"/>
    <w:rsid w:val="00983A1E"/>
    <w:rsid w:val="00983FA4"/>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20"/>
    <w:rsid w:val="00987587"/>
    <w:rsid w:val="00987646"/>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93"/>
    <w:rsid w:val="009B38CA"/>
    <w:rsid w:val="009B3A23"/>
    <w:rsid w:val="009B3AC2"/>
    <w:rsid w:val="009B3CA5"/>
    <w:rsid w:val="009B4026"/>
    <w:rsid w:val="009B440C"/>
    <w:rsid w:val="009B44BE"/>
    <w:rsid w:val="009B45EF"/>
    <w:rsid w:val="009B48B6"/>
    <w:rsid w:val="009B4A9D"/>
    <w:rsid w:val="009B4BCA"/>
    <w:rsid w:val="009B4C33"/>
    <w:rsid w:val="009B4C73"/>
    <w:rsid w:val="009B4DF4"/>
    <w:rsid w:val="009B4E83"/>
    <w:rsid w:val="009B506B"/>
    <w:rsid w:val="009B53A3"/>
    <w:rsid w:val="009B564E"/>
    <w:rsid w:val="009B5A2C"/>
    <w:rsid w:val="009B5C8D"/>
    <w:rsid w:val="009B646F"/>
    <w:rsid w:val="009B6784"/>
    <w:rsid w:val="009B6D86"/>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02"/>
    <w:rsid w:val="009C1B51"/>
    <w:rsid w:val="009C2291"/>
    <w:rsid w:val="009C23DA"/>
    <w:rsid w:val="009C2490"/>
    <w:rsid w:val="009C25B1"/>
    <w:rsid w:val="009C27A2"/>
    <w:rsid w:val="009C2AB0"/>
    <w:rsid w:val="009C2D18"/>
    <w:rsid w:val="009C30C0"/>
    <w:rsid w:val="009C30E0"/>
    <w:rsid w:val="009C3437"/>
    <w:rsid w:val="009C3760"/>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DDC"/>
    <w:rsid w:val="009D1F61"/>
    <w:rsid w:val="009D1FF5"/>
    <w:rsid w:val="009D2192"/>
    <w:rsid w:val="009D247E"/>
    <w:rsid w:val="009D25A3"/>
    <w:rsid w:val="009D26A8"/>
    <w:rsid w:val="009D27F4"/>
    <w:rsid w:val="009D307E"/>
    <w:rsid w:val="009D3347"/>
    <w:rsid w:val="009D3A20"/>
    <w:rsid w:val="009D4475"/>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6CD"/>
    <w:rsid w:val="009E2D84"/>
    <w:rsid w:val="009E30CC"/>
    <w:rsid w:val="009E35DB"/>
    <w:rsid w:val="009E3D56"/>
    <w:rsid w:val="009E3DEF"/>
    <w:rsid w:val="009E3FFA"/>
    <w:rsid w:val="009E461F"/>
    <w:rsid w:val="009E4637"/>
    <w:rsid w:val="009E467E"/>
    <w:rsid w:val="009E47A3"/>
    <w:rsid w:val="009E4827"/>
    <w:rsid w:val="009E48D9"/>
    <w:rsid w:val="009E4D29"/>
    <w:rsid w:val="009E4E6E"/>
    <w:rsid w:val="009E51EB"/>
    <w:rsid w:val="009E5A91"/>
    <w:rsid w:val="009E5EB3"/>
    <w:rsid w:val="009E61AC"/>
    <w:rsid w:val="009E62D5"/>
    <w:rsid w:val="009E687D"/>
    <w:rsid w:val="009E6F87"/>
    <w:rsid w:val="009E7053"/>
    <w:rsid w:val="009E7063"/>
    <w:rsid w:val="009F009C"/>
    <w:rsid w:val="009F08F3"/>
    <w:rsid w:val="009F12E5"/>
    <w:rsid w:val="009F1957"/>
    <w:rsid w:val="009F1C6E"/>
    <w:rsid w:val="009F215A"/>
    <w:rsid w:val="009F222E"/>
    <w:rsid w:val="009F22C9"/>
    <w:rsid w:val="009F25F6"/>
    <w:rsid w:val="009F2711"/>
    <w:rsid w:val="009F29AC"/>
    <w:rsid w:val="009F344F"/>
    <w:rsid w:val="009F4015"/>
    <w:rsid w:val="009F45CF"/>
    <w:rsid w:val="009F45F4"/>
    <w:rsid w:val="009F4697"/>
    <w:rsid w:val="009F4C81"/>
    <w:rsid w:val="009F4D81"/>
    <w:rsid w:val="009F4D9A"/>
    <w:rsid w:val="009F4DB2"/>
    <w:rsid w:val="009F5394"/>
    <w:rsid w:val="009F5D8A"/>
    <w:rsid w:val="009F6784"/>
    <w:rsid w:val="009F683E"/>
    <w:rsid w:val="009F7C69"/>
    <w:rsid w:val="009F7EFB"/>
    <w:rsid w:val="00A002E6"/>
    <w:rsid w:val="00A008EF"/>
    <w:rsid w:val="00A00F00"/>
    <w:rsid w:val="00A013F4"/>
    <w:rsid w:val="00A01E77"/>
    <w:rsid w:val="00A021B9"/>
    <w:rsid w:val="00A023CF"/>
    <w:rsid w:val="00A024E8"/>
    <w:rsid w:val="00A02701"/>
    <w:rsid w:val="00A02892"/>
    <w:rsid w:val="00A02D3C"/>
    <w:rsid w:val="00A02F24"/>
    <w:rsid w:val="00A031D8"/>
    <w:rsid w:val="00A035FE"/>
    <w:rsid w:val="00A0382E"/>
    <w:rsid w:val="00A048A8"/>
    <w:rsid w:val="00A04F49"/>
    <w:rsid w:val="00A051F3"/>
    <w:rsid w:val="00A05358"/>
    <w:rsid w:val="00A05A97"/>
    <w:rsid w:val="00A05EB1"/>
    <w:rsid w:val="00A060EC"/>
    <w:rsid w:val="00A06FA6"/>
    <w:rsid w:val="00A070E9"/>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78"/>
    <w:rsid w:val="00A13CD3"/>
    <w:rsid w:val="00A13D22"/>
    <w:rsid w:val="00A13E54"/>
    <w:rsid w:val="00A1504A"/>
    <w:rsid w:val="00A15422"/>
    <w:rsid w:val="00A1565B"/>
    <w:rsid w:val="00A1572E"/>
    <w:rsid w:val="00A15929"/>
    <w:rsid w:val="00A15E8D"/>
    <w:rsid w:val="00A169C7"/>
    <w:rsid w:val="00A16A03"/>
    <w:rsid w:val="00A16A8F"/>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65"/>
    <w:rsid w:val="00A24E94"/>
    <w:rsid w:val="00A25203"/>
    <w:rsid w:val="00A25395"/>
    <w:rsid w:val="00A254AD"/>
    <w:rsid w:val="00A25793"/>
    <w:rsid w:val="00A25804"/>
    <w:rsid w:val="00A25F61"/>
    <w:rsid w:val="00A26476"/>
    <w:rsid w:val="00A264A9"/>
    <w:rsid w:val="00A26697"/>
    <w:rsid w:val="00A2695F"/>
    <w:rsid w:val="00A26BAF"/>
    <w:rsid w:val="00A26DCF"/>
    <w:rsid w:val="00A2754D"/>
    <w:rsid w:val="00A275D4"/>
    <w:rsid w:val="00A27785"/>
    <w:rsid w:val="00A27940"/>
    <w:rsid w:val="00A279DF"/>
    <w:rsid w:val="00A27BF1"/>
    <w:rsid w:val="00A27D3E"/>
    <w:rsid w:val="00A27D54"/>
    <w:rsid w:val="00A27D89"/>
    <w:rsid w:val="00A30187"/>
    <w:rsid w:val="00A30641"/>
    <w:rsid w:val="00A3070B"/>
    <w:rsid w:val="00A3095A"/>
    <w:rsid w:val="00A310DC"/>
    <w:rsid w:val="00A31EF1"/>
    <w:rsid w:val="00A32176"/>
    <w:rsid w:val="00A32300"/>
    <w:rsid w:val="00A323F1"/>
    <w:rsid w:val="00A3257D"/>
    <w:rsid w:val="00A32799"/>
    <w:rsid w:val="00A3284E"/>
    <w:rsid w:val="00A32CCB"/>
    <w:rsid w:val="00A32D90"/>
    <w:rsid w:val="00A331DE"/>
    <w:rsid w:val="00A338C8"/>
    <w:rsid w:val="00A339E2"/>
    <w:rsid w:val="00A3448A"/>
    <w:rsid w:val="00A34B68"/>
    <w:rsid w:val="00A34BD1"/>
    <w:rsid w:val="00A35081"/>
    <w:rsid w:val="00A351BA"/>
    <w:rsid w:val="00A35AE3"/>
    <w:rsid w:val="00A35BB3"/>
    <w:rsid w:val="00A36297"/>
    <w:rsid w:val="00A369A0"/>
    <w:rsid w:val="00A36F11"/>
    <w:rsid w:val="00A36FC1"/>
    <w:rsid w:val="00A3763C"/>
    <w:rsid w:val="00A377EA"/>
    <w:rsid w:val="00A37F61"/>
    <w:rsid w:val="00A408F5"/>
    <w:rsid w:val="00A40A7B"/>
    <w:rsid w:val="00A40C4A"/>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C1A"/>
    <w:rsid w:val="00A44D2C"/>
    <w:rsid w:val="00A44F28"/>
    <w:rsid w:val="00A44F8E"/>
    <w:rsid w:val="00A450BB"/>
    <w:rsid w:val="00A453D7"/>
    <w:rsid w:val="00A4554C"/>
    <w:rsid w:val="00A45AD3"/>
    <w:rsid w:val="00A45B74"/>
    <w:rsid w:val="00A463AA"/>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3DC"/>
    <w:rsid w:val="00A73579"/>
    <w:rsid w:val="00A738C5"/>
    <w:rsid w:val="00A739D0"/>
    <w:rsid w:val="00A73B07"/>
    <w:rsid w:val="00A73D58"/>
    <w:rsid w:val="00A74025"/>
    <w:rsid w:val="00A740A8"/>
    <w:rsid w:val="00A741A7"/>
    <w:rsid w:val="00A74502"/>
    <w:rsid w:val="00A746AA"/>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3FB8"/>
    <w:rsid w:val="00A84020"/>
    <w:rsid w:val="00A84675"/>
    <w:rsid w:val="00A84778"/>
    <w:rsid w:val="00A84931"/>
    <w:rsid w:val="00A85735"/>
    <w:rsid w:val="00A85763"/>
    <w:rsid w:val="00A859CA"/>
    <w:rsid w:val="00A862C5"/>
    <w:rsid w:val="00A865CE"/>
    <w:rsid w:val="00A86989"/>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5B4"/>
    <w:rsid w:val="00A92879"/>
    <w:rsid w:val="00A92CF9"/>
    <w:rsid w:val="00A9336A"/>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29DC"/>
    <w:rsid w:val="00AB3078"/>
    <w:rsid w:val="00AB322A"/>
    <w:rsid w:val="00AB32E9"/>
    <w:rsid w:val="00AB3CA5"/>
    <w:rsid w:val="00AB3DAC"/>
    <w:rsid w:val="00AB41B5"/>
    <w:rsid w:val="00AB4991"/>
    <w:rsid w:val="00AB4A14"/>
    <w:rsid w:val="00AB4A45"/>
    <w:rsid w:val="00AB4AB8"/>
    <w:rsid w:val="00AB4B51"/>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DCC"/>
    <w:rsid w:val="00AC007F"/>
    <w:rsid w:val="00AC017B"/>
    <w:rsid w:val="00AC117B"/>
    <w:rsid w:val="00AC119C"/>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6B3"/>
    <w:rsid w:val="00AF1767"/>
    <w:rsid w:val="00AF1A04"/>
    <w:rsid w:val="00AF1C5D"/>
    <w:rsid w:val="00AF202B"/>
    <w:rsid w:val="00AF2B0A"/>
    <w:rsid w:val="00AF2C81"/>
    <w:rsid w:val="00AF2DE7"/>
    <w:rsid w:val="00AF330F"/>
    <w:rsid w:val="00AF34B7"/>
    <w:rsid w:val="00AF34EC"/>
    <w:rsid w:val="00AF352A"/>
    <w:rsid w:val="00AF353B"/>
    <w:rsid w:val="00AF3673"/>
    <w:rsid w:val="00AF3A0C"/>
    <w:rsid w:val="00AF3D51"/>
    <w:rsid w:val="00AF3F52"/>
    <w:rsid w:val="00AF42D7"/>
    <w:rsid w:val="00AF4508"/>
    <w:rsid w:val="00AF4966"/>
    <w:rsid w:val="00AF4C35"/>
    <w:rsid w:val="00AF4C41"/>
    <w:rsid w:val="00AF53CC"/>
    <w:rsid w:val="00AF54FB"/>
    <w:rsid w:val="00AF5D8F"/>
    <w:rsid w:val="00AF5F9C"/>
    <w:rsid w:val="00AF5FF8"/>
    <w:rsid w:val="00AF697A"/>
    <w:rsid w:val="00AF7935"/>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025"/>
    <w:rsid w:val="00B03942"/>
    <w:rsid w:val="00B039B7"/>
    <w:rsid w:val="00B03A1D"/>
    <w:rsid w:val="00B03A28"/>
    <w:rsid w:val="00B03EEA"/>
    <w:rsid w:val="00B03FD3"/>
    <w:rsid w:val="00B04361"/>
    <w:rsid w:val="00B045F0"/>
    <w:rsid w:val="00B047A1"/>
    <w:rsid w:val="00B04B68"/>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8BE"/>
    <w:rsid w:val="00B11DF9"/>
    <w:rsid w:val="00B125E7"/>
    <w:rsid w:val="00B12619"/>
    <w:rsid w:val="00B12EB2"/>
    <w:rsid w:val="00B13467"/>
    <w:rsid w:val="00B13690"/>
    <w:rsid w:val="00B137F2"/>
    <w:rsid w:val="00B13F0E"/>
    <w:rsid w:val="00B14569"/>
    <w:rsid w:val="00B14C0D"/>
    <w:rsid w:val="00B14CBC"/>
    <w:rsid w:val="00B150D8"/>
    <w:rsid w:val="00B1576D"/>
    <w:rsid w:val="00B157F9"/>
    <w:rsid w:val="00B15965"/>
    <w:rsid w:val="00B15AE3"/>
    <w:rsid w:val="00B16834"/>
    <w:rsid w:val="00B16956"/>
    <w:rsid w:val="00B1715A"/>
    <w:rsid w:val="00B20256"/>
    <w:rsid w:val="00B20535"/>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4A81"/>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6CF"/>
    <w:rsid w:val="00B437D2"/>
    <w:rsid w:val="00B437FA"/>
    <w:rsid w:val="00B43D17"/>
    <w:rsid w:val="00B43DFA"/>
    <w:rsid w:val="00B44D43"/>
    <w:rsid w:val="00B4561F"/>
    <w:rsid w:val="00B45882"/>
    <w:rsid w:val="00B45A4C"/>
    <w:rsid w:val="00B45A52"/>
    <w:rsid w:val="00B460B3"/>
    <w:rsid w:val="00B46175"/>
    <w:rsid w:val="00B464A0"/>
    <w:rsid w:val="00B46A72"/>
    <w:rsid w:val="00B46B0C"/>
    <w:rsid w:val="00B46D8B"/>
    <w:rsid w:val="00B4713E"/>
    <w:rsid w:val="00B47197"/>
    <w:rsid w:val="00B47201"/>
    <w:rsid w:val="00B473E9"/>
    <w:rsid w:val="00B5008D"/>
    <w:rsid w:val="00B5022C"/>
    <w:rsid w:val="00B50350"/>
    <w:rsid w:val="00B50453"/>
    <w:rsid w:val="00B50A8A"/>
    <w:rsid w:val="00B5119A"/>
    <w:rsid w:val="00B51342"/>
    <w:rsid w:val="00B51369"/>
    <w:rsid w:val="00B515CC"/>
    <w:rsid w:val="00B51D82"/>
    <w:rsid w:val="00B523B0"/>
    <w:rsid w:val="00B52477"/>
    <w:rsid w:val="00B525C1"/>
    <w:rsid w:val="00B527DF"/>
    <w:rsid w:val="00B52AF0"/>
    <w:rsid w:val="00B53023"/>
    <w:rsid w:val="00B53227"/>
    <w:rsid w:val="00B53597"/>
    <w:rsid w:val="00B537DA"/>
    <w:rsid w:val="00B53A97"/>
    <w:rsid w:val="00B540CC"/>
    <w:rsid w:val="00B54128"/>
    <w:rsid w:val="00B5433D"/>
    <w:rsid w:val="00B544C5"/>
    <w:rsid w:val="00B5477D"/>
    <w:rsid w:val="00B548B7"/>
    <w:rsid w:val="00B54929"/>
    <w:rsid w:val="00B54988"/>
    <w:rsid w:val="00B54EAB"/>
    <w:rsid w:val="00B55148"/>
    <w:rsid w:val="00B551B6"/>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03"/>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B86"/>
    <w:rsid w:val="00B70C3D"/>
    <w:rsid w:val="00B70C7A"/>
    <w:rsid w:val="00B70DB5"/>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DA"/>
    <w:rsid w:val="00B819A0"/>
    <w:rsid w:val="00B819E7"/>
    <w:rsid w:val="00B81A6C"/>
    <w:rsid w:val="00B81D25"/>
    <w:rsid w:val="00B822DF"/>
    <w:rsid w:val="00B8295A"/>
    <w:rsid w:val="00B82A3E"/>
    <w:rsid w:val="00B82B50"/>
    <w:rsid w:val="00B835B2"/>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01"/>
    <w:rsid w:val="00B87EF4"/>
    <w:rsid w:val="00B90340"/>
    <w:rsid w:val="00B904C7"/>
    <w:rsid w:val="00B9069C"/>
    <w:rsid w:val="00B90A14"/>
    <w:rsid w:val="00B90B00"/>
    <w:rsid w:val="00B90EA2"/>
    <w:rsid w:val="00B90F73"/>
    <w:rsid w:val="00B911A9"/>
    <w:rsid w:val="00B9152E"/>
    <w:rsid w:val="00B917E8"/>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B27"/>
    <w:rsid w:val="00B9536A"/>
    <w:rsid w:val="00B9538F"/>
    <w:rsid w:val="00B95715"/>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43"/>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BF3"/>
    <w:rsid w:val="00BC1F7D"/>
    <w:rsid w:val="00BC212A"/>
    <w:rsid w:val="00BC213E"/>
    <w:rsid w:val="00BC23AF"/>
    <w:rsid w:val="00BC278F"/>
    <w:rsid w:val="00BC2DB7"/>
    <w:rsid w:val="00BC3053"/>
    <w:rsid w:val="00BC3218"/>
    <w:rsid w:val="00BC36E1"/>
    <w:rsid w:val="00BC3884"/>
    <w:rsid w:val="00BC3903"/>
    <w:rsid w:val="00BC39E6"/>
    <w:rsid w:val="00BC4165"/>
    <w:rsid w:val="00BC4179"/>
    <w:rsid w:val="00BC4322"/>
    <w:rsid w:val="00BC4816"/>
    <w:rsid w:val="00BC4D2E"/>
    <w:rsid w:val="00BC5282"/>
    <w:rsid w:val="00BC52D0"/>
    <w:rsid w:val="00BC52D2"/>
    <w:rsid w:val="00BC52E0"/>
    <w:rsid w:val="00BC58AC"/>
    <w:rsid w:val="00BC5A83"/>
    <w:rsid w:val="00BC5BA6"/>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A70"/>
    <w:rsid w:val="00BE0D16"/>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26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72A"/>
    <w:rsid w:val="00BF6AC5"/>
    <w:rsid w:val="00BF6DFF"/>
    <w:rsid w:val="00BF6E02"/>
    <w:rsid w:val="00BF74C7"/>
    <w:rsid w:val="00BF7669"/>
    <w:rsid w:val="00BF76E7"/>
    <w:rsid w:val="00BF777E"/>
    <w:rsid w:val="00C001EF"/>
    <w:rsid w:val="00C005A9"/>
    <w:rsid w:val="00C006FB"/>
    <w:rsid w:val="00C008B2"/>
    <w:rsid w:val="00C009B6"/>
    <w:rsid w:val="00C009BB"/>
    <w:rsid w:val="00C015E4"/>
    <w:rsid w:val="00C015F1"/>
    <w:rsid w:val="00C01927"/>
    <w:rsid w:val="00C01A44"/>
    <w:rsid w:val="00C01B1A"/>
    <w:rsid w:val="00C01CD2"/>
    <w:rsid w:val="00C01F33"/>
    <w:rsid w:val="00C01F72"/>
    <w:rsid w:val="00C02000"/>
    <w:rsid w:val="00C024A6"/>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B28"/>
    <w:rsid w:val="00C07D54"/>
    <w:rsid w:val="00C10061"/>
    <w:rsid w:val="00C10334"/>
    <w:rsid w:val="00C10478"/>
    <w:rsid w:val="00C104CA"/>
    <w:rsid w:val="00C106FF"/>
    <w:rsid w:val="00C108E0"/>
    <w:rsid w:val="00C11782"/>
    <w:rsid w:val="00C11A1F"/>
    <w:rsid w:val="00C11C94"/>
    <w:rsid w:val="00C12107"/>
    <w:rsid w:val="00C128A2"/>
    <w:rsid w:val="00C12A10"/>
    <w:rsid w:val="00C12A6D"/>
    <w:rsid w:val="00C1324D"/>
    <w:rsid w:val="00C133D6"/>
    <w:rsid w:val="00C13869"/>
    <w:rsid w:val="00C1395D"/>
    <w:rsid w:val="00C13B65"/>
    <w:rsid w:val="00C13C42"/>
    <w:rsid w:val="00C13D67"/>
    <w:rsid w:val="00C142A9"/>
    <w:rsid w:val="00C14C21"/>
    <w:rsid w:val="00C14CE2"/>
    <w:rsid w:val="00C14D4B"/>
    <w:rsid w:val="00C15181"/>
    <w:rsid w:val="00C15452"/>
    <w:rsid w:val="00C154BB"/>
    <w:rsid w:val="00C15641"/>
    <w:rsid w:val="00C15740"/>
    <w:rsid w:val="00C158F9"/>
    <w:rsid w:val="00C15F86"/>
    <w:rsid w:val="00C16073"/>
    <w:rsid w:val="00C16089"/>
    <w:rsid w:val="00C166F6"/>
    <w:rsid w:val="00C16A4C"/>
    <w:rsid w:val="00C16BD2"/>
    <w:rsid w:val="00C16D24"/>
    <w:rsid w:val="00C17B73"/>
    <w:rsid w:val="00C17CD3"/>
    <w:rsid w:val="00C17FB5"/>
    <w:rsid w:val="00C200E5"/>
    <w:rsid w:val="00C20395"/>
    <w:rsid w:val="00C20450"/>
    <w:rsid w:val="00C2081F"/>
    <w:rsid w:val="00C20B72"/>
    <w:rsid w:val="00C216FE"/>
    <w:rsid w:val="00C21901"/>
    <w:rsid w:val="00C21E6C"/>
    <w:rsid w:val="00C220D6"/>
    <w:rsid w:val="00C2224E"/>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AD6"/>
    <w:rsid w:val="00C34B62"/>
    <w:rsid w:val="00C35279"/>
    <w:rsid w:val="00C35538"/>
    <w:rsid w:val="00C35B05"/>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31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47FEC"/>
    <w:rsid w:val="00C5066A"/>
    <w:rsid w:val="00C507C3"/>
    <w:rsid w:val="00C50C6C"/>
    <w:rsid w:val="00C50EBE"/>
    <w:rsid w:val="00C513C6"/>
    <w:rsid w:val="00C51467"/>
    <w:rsid w:val="00C5159A"/>
    <w:rsid w:val="00C51CDA"/>
    <w:rsid w:val="00C5200D"/>
    <w:rsid w:val="00C522D0"/>
    <w:rsid w:val="00C529A5"/>
    <w:rsid w:val="00C52CF3"/>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7101"/>
    <w:rsid w:val="00C67221"/>
    <w:rsid w:val="00C6722C"/>
    <w:rsid w:val="00C6769B"/>
    <w:rsid w:val="00C676D7"/>
    <w:rsid w:val="00C67755"/>
    <w:rsid w:val="00C6775E"/>
    <w:rsid w:val="00C67C33"/>
    <w:rsid w:val="00C67FAE"/>
    <w:rsid w:val="00C70697"/>
    <w:rsid w:val="00C70C72"/>
    <w:rsid w:val="00C70CDC"/>
    <w:rsid w:val="00C70DB3"/>
    <w:rsid w:val="00C7156D"/>
    <w:rsid w:val="00C715FD"/>
    <w:rsid w:val="00C71680"/>
    <w:rsid w:val="00C71B8F"/>
    <w:rsid w:val="00C71C28"/>
    <w:rsid w:val="00C71C5F"/>
    <w:rsid w:val="00C71E25"/>
    <w:rsid w:val="00C71E27"/>
    <w:rsid w:val="00C72093"/>
    <w:rsid w:val="00C723F0"/>
    <w:rsid w:val="00C7258B"/>
    <w:rsid w:val="00C72772"/>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6E3"/>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BC0"/>
    <w:rsid w:val="00C86F7A"/>
    <w:rsid w:val="00C86F83"/>
    <w:rsid w:val="00C8725A"/>
    <w:rsid w:val="00C8732A"/>
    <w:rsid w:val="00C87656"/>
    <w:rsid w:val="00C87B71"/>
    <w:rsid w:val="00C900D8"/>
    <w:rsid w:val="00C9013E"/>
    <w:rsid w:val="00C90175"/>
    <w:rsid w:val="00C9027A"/>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615C"/>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516"/>
    <w:rsid w:val="00CA5668"/>
    <w:rsid w:val="00CA5A9C"/>
    <w:rsid w:val="00CA5C63"/>
    <w:rsid w:val="00CA5D4C"/>
    <w:rsid w:val="00CA6338"/>
    <w:rsid w:val="00CA66D5"/>
    <w:rsid w:val="00CA6C6E"/>
    <w:rsid w:val="00CA6D74"/>
    <w:rsid w:val="00CA734A"/>
    <w:rsid w:val="00CA742C"/>
    <w:rsid w:val="00CA74CC"/>
    <w:rsid w:val="00CA75B4"/>
    <w:rsid w:val="00CA762B"/>
    <w:rsid w:val="00CA764C"/>
    <w:rsid w:val="00CA7687"/>
    <w:rsid w:val="00CA779E"/>
    <w:rsid w:val="00CB0470"/>
    <w:rsid w:val="00CB09AB"/>
    <w:rsid w:val="00CB0BDC"/>
    <w:rsid w:val="00CB0D6A"/>
    <w:rsid w:val="00CB0E89"/>
    <w:rsid w:val="00CB162D"/>
    <w:rsid w:val="00CB1901"/>
    <w:rsid w:val="00CB1F63"/>
    <w:rsid w:val="00CB23A0"/>
    <w:rsid w:val="00CB28DA"/>
    <w:rsid w:val="00CB2D03"/>
    <w:rsid w:val="00CB2E32"/>
    <w:rsid w:val="00CB2FD0"/>
    <w:rsid w:val="00CB3027"/>
    <w:rsid w:val="00CB3161"/>
    <w:rsid w:val="00CB31A0"/>
    <w:rsid w:val="00CB361F"/>
    <w:rsid w:val="00CB3C86"/>
    <w:rsid w:val="00CB3C9D"/>
    <w:rsid w:val="00CB40BB"/>
    <w:rsid w:val="00CB478E"/>
    <w:rsid w:val="00CB4AA5"/>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3B"/>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23D"/>
    <w:rsid w:val="00CD046C"/>
    <w:rsid w:val="00CD04E7"/>
    <w:rsid w:val="00CD0713"/>
    <w:rsid w:val="00CD07AD"/>
    <w:rsid w:val="00CD07B1"/>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A98"/>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172"/>
    <w:rsid w:val="00CF4267"/>
    <w:rsid w:val="00CF486D"/>
    <w:rsid w:val="00CF495D"/>
    <w:rsid w:val="00CF4A71"/>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0C72"/>
    <w:rsid w:val="00D0217E"/>
    <w:rsid w:val="00D0226E"/>
    <w:rsid w:val="00D02302"/>
    <w:rsid w:val="00D02841"/>
    <w:rsid w:val="00D03224"/>
    <w:rsid w:val="00D0349B"/>
    <w:rsid w:val="00D0391D"/>
    <w:rsid w:val="00D03FFA"/>
    <w:rsid w:val="00D0423A"/>
    <w:rsid w:val="00D04737"/>
    <w:rsid w:val="00D049F6"/>
    <w:rsid w:val="00D04A57"/>
    <w:rsid w:val="00D04F0D"/>
    <w:rsid w:val="00D04F9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E6"/>
    <w:rsid w:val="00D12E26"/>
    <w:rsid w:val="00D12FC1"/>
    <w:rsid w:val="00D13135"/>
    <w:rsid w:val="00D13637"/>
    <w:rsid w:val="00D1391A"/>
    <w:rsid w:val="00D13A58"/>
    <w:rsid w:val="00D13E4E"/>
    <w:rsid w:val="00D13E7B"/>
    <w:rsid w:val="00D14A64"/>
    <w:rsid w:val="00D14BB1"/>
    <w:rsid w:val="00D15108"/>
    <w:rsid w:val="00D153A3"/>
    <w:rsid w:val="00D1545C"/>
    <w:rsid w:val="00D1560C"/>
    <w:rsid w:val="00D15D5A"/>
    <w:rsid w:val="00D15F9D"/>
    <w:rsid w:val="00D16527"/>
    <w:rsid w:val="00D16C3C"/>
    <w:rsid w:val="00D16C6D"/>
    <w:rsid w:val="00D170E9"/>
    <w:rsid w:val="00D1731A"/>
    <w:rsid w:val="00D173C5"/>
    <w:rsid w:val="00D2022C"/>
    <w:rsid w:val="00D20759"/>
    <w:rsid w:val="00D20862"/>
    <w:rsid w:val="00D20FC6"/>
    <w:rsid w:val="00D211FE"/>
    <w:rsid w:val="00D21371"/>
    <w:rsid w:val="00D21AA1"/>
    <w:rsid w:val="00D21CC3"/>
    <w:rsid w:val="00D21F02"/>
    <w:rsid w:val="00D222FB"/>
    <w:rsid w:val="00D22AB4"/>
    <w:rsid w:val="00D22B0D"/>
    <w:rsid w:val="00D22E36"/>
    <w:rsid w:val="00D22F44"/>
    <w:rsid w:val="00D239A7"/>
    <w:rsid w:val="00D23F47"/>
    <w:rsid w:val="00D244D5"/>
    <w:rsid w:val="00D2477B"/>
    <w:rsid w:val="00D24F9D"/>
    <w:rsid w:val="00D25EE3"/>
    <w:rsid w:val="00D25F3C"/>
    <w:rsid w:val="00D261FA"/>
    <w:rsid w:val="00D2647D"/>
    <w:rsid w:val="00D2676A"/>
    <w:rsid w:val="00D26B69"/>
    <w:rsid w:val="00D26B78"/>
    <w:rsid w:val="00D26DC1"/>
    <w:rsid w:val="00D27233"/>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1D3"/>
    <w:rsid w:val="00D4043C"/>
    <w:rsid w:val="00D404FB"/>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3E4"/>
    <w:rsid w:val="00D456F3"/>
    <w:rsid w:val="00D45DDD"/>
    <w:rsid w:val="00D45F61"/>
    <w:rsid w:val="00D46012"/>
    <w:rsid w:val="00D46301"/>
    <w:rsid w:val="00D463A9"/>
    <w:rsid w:val="00D463BE"/>
    <w:rsid w:val="00D463C2"/>
    <w:rsid w:val="00D46488"/>
    <w:rsid w:val="00D466E1"/>
    <w:rsid w:val="00D46BF7"/>
    <w:rsid w:val="00D47093"/>
    <w:rsid w:val="00D477EE"/>
    <w:rsid w:val="00D47827"/>
    <w:rsid w:val="00D478EC"/>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87"/>
    <w:rsid w:val="00D563BD"/>
    <w:rsid w:val="00D56470"/>
    <w:rsid w:val="00D568C7"/>
    <w:rsid w:val="00D56A91"/>
    <w:rsid w:val="00D56CDA"/>
    <w:rsid w:val="00D56EE2"/>
    <w:rsid w:val="00D57204"/>
    <w:rsid w:val="00D57451"/>
    <w:rsid w:val="00D576CA"/>
    <w:rsid w:val="00D57B94"/>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B2D"/>
    <w:rsid w:val="00D7006E"/>
    <w:rsid w:val="00D7041A"/>
    <w:rsid w:val="00D70769"/>
    <w:rsid w:val="00D708B0"/>
    <w:rsid w:val="00D710A8"/>
    <w:rsid w:val="00D719F8"/>
    <w:rsid w:val="00D71A30"/>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5566"/>
    <w:rsid w:val="00D7558E"/>
    <w:rsid w:val="00D75FDA"/>
    <w:rsid w:val="00D761A7"/>
    <w:rsid w:val="00D7634B"/>
    <w:rsid w:val="00D7649F"/>
    <w:rsid w:val="00D764E2"/>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3DD7"/>
    <w:rsid w:val="00D8435F"/>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850"/>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045"/>
    <w:rsid w:val="00DB54F3"/>
    <w:rsid w:val="00DB59E8"/>
    <w:rsid w:val="00DB5C61"/>
    <w:rsid w:val="00DB6A97"/>
    <w:rsid w:val="00DB6D19"/>
    <w:rsid w:val="00DB70E9"/>
    <w:rsid w:val="00DB75EF"/>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462E"/>
    <w:rsid w:val="00DC50A3"/>
    <w:rsid w:val="00DC53EF"/>
    <w:rsid w:val="00DC5761"/>
    <w:rsid w:val="00DC5A4D"/>
    <w:rsid w:val="00DC5B73"/>
    <w:rsid w:val="00DC60AC"/>
    <w:rsid w:val="00DC633D"/>
    <w:rsid w:val="00DC67F7"/>
    <w:rsid w:val="00DC6ABB"/>
    <w:rsid w:val="00DC6C37"/>
    <w:rsid w:val="00DC6DEA"/>
    <w:rsid w:val="00DC6FFF"/>
    <w:rsid w:val="00DC70CD"/>
    <w:rsid w:val="00DC74FB"/>
    <w:rsid w:val="00DC7A68"/>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1F7"/>
    <w:rsid w:val="00DD3212"/>
    <w:rsid w:val="00DD3219"/>
    <w:rsid w:val="00DD338F"/>
    <w:rsid w:val="00DD3657"/>
    <w:rsid w:val="00DD3704"/>
    <w:rsid w:val="00DD3AE4"/>
    <w:rsid w:val="00DD3BEF"/>
    <w:rsid w:val="00DD3D1F"/>
    <w:rsid w:val="00DD3EBA"/>
    <w:rsid w:val="00DD422E"/>
    <w:rsid w:val="00DD4708"/>
    <w:rsid w:val="00DD548F"/>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C2"/>
    <w:rsid w:val="00DE4F32"/>
    <w:rsid w:val="00DE521A"/>
    <w:rsid w:val="00DE5608"/>
    <w:rsid w:val="00DE579B"/>
    <w:rsid w:val="00DE58D0"/>
    <w:rsid w:val="00DE5974"/>
    <w:rsid w:val="00DE59CB"/>
    <w:rsid w:val="00DE5B63"/>
    <w:rsid w:val="00DE5CB6"/>
    <w:rsid w:val="00DE62F5"/>
    <w:rsid w:val="00DE64BD"/>
    <w:rsid w:val="00DE654F"/>
    <w:rsid w:val="00DE6907"/>
    <w:rsid w:val="00DE7008"/>
    <w:rsid w:val="00DE71BC"/>
    <w:rsid w:val="00DE77FA"/>
    <w:rsid w:val="00DE7D27"/>
    <w:rsid w:val="00DF058A"/>
    <w:rsid w:val="00DF0B6E"/>
    <w:rsid w:val="00DF0E69"/>
    <w:rsid w:val="00DF15E0"/>
    <w:rsid w:val="00DF176C"/>
    <w:rsid w:val="00DF1911"/>
    <w:rsid w:val="00DF1C87"/>
    <w:rsid w:val="00DF2066"/>
    <w:rsid w:val="00DF2147"/>
    <w:rsid w:val="00DF2476"/>
    <w:rsid w:val="00DF263C"/>
    <w:rsid w:val="00DF2A4C"/>
    <w:rsid w:val="00DF2FC1"/>
    <w:rsid w:val="00DF3216"/>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B6E"/>
    <w:rsid w:val="00DF7CDD"/>
    <w:rsid w:val="00DF7D73"/>
    <w:rsid w:val="00E001F0"/>
    <w:rsid w:val="00E00A85"/>
    <w:rsid w:val="00E01427"/>
    <w:rsid w:val="00E01CF9"/>
    <w:rsid w:val="00E01FE4"/>
    <w:rsid w:val="00E02214"/>
    <w:rsid w:val="00E02765"/>
    <w:rsid w:val="00E028C4"/>
    <w:rsid w:val="00E035AB"/>
    <w:rsid w:val="00E03813"/>
    <w:rsid w:val="00E04119"/>
    <w:rsid w:val="00E0498E"/>
    <w:rsid w:val="00E04CED"/>
    <w:rsid w:val="00E04F81"/>
    <w:rsid w:val="00E04FC5"/>
    <w:rsid w:val="00E0535B"/>
    <w:rsid w:val="00E053D7"/>
    <w:rsid w:val="00E05A2B"/>
    <w:rsid w:val="00E05D5C"/>
    <w:rsid w:val="00E05DE2"/>
    <w:rsid w:val="00E062FF"/>
    <w:rsid w:val="00E06549"/>
    <w:rsid w:val="00E067ED"/>
    <w:rsid w:val="00E06F50"/>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A0C"/>
    <w:rsid w:val="00E12CEC"/>
    <w:rsid w:val="00E13137"/>
    <w:rsid w:val="00E132DB"/>
    <w:rsid w:val="00E136D3"/>
    <w:rsid w:val="00E13BA3"/>
    <w:rsid w:val="00E13C2F"/>
    <w:rsid w:val="00E13D7A"/>
    <w:rsid w:val="00E144C1"/>
    <w:rsid w:val="00E14607"/>
    <w:rsid w:val="00E147F2"/>
    <w:rsid w:val="00E148AB"/>
    <w:rsid w:val="00E14B6E"/>
    <w:rsid w:val="00E15554"/>
    <w:rsid w:val="00E15CD0"/>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5C6"/>
    <w:rsid w:val="00E22A9E"/>
    <w:rsid w:val="00E22CEE"/>
    <w:rsid w:val="00E2333C"/>
    <w:rsid w:val="00E24456"/>
    <w:rsid w:val="00E244B1"/>
    <w:rsid w:val="00E244D0"/>
    <w:rsid w:val="00E2451C"/>
    <w:rsid w:val="00E24749"/>
    <w:rsid w:val="00E249BD"/>
    <w:rsid w:val="00E24B2F"/>
    <w:rsid w:val="00E2508D"/>
    <w:rsid w:val="00E2532B"/>
    <w:rsid w:val="00E254D9"/>
    <w:rsid w:val="00E25545"/>
    <w:rsid w:val="00E25799"/>
    <w:rsid w:val="00E257F0"/>
    <w:rsid w:val="00E259DC"/>
    <w:rsid w:val="00E2611F"/>
    <w:rsid w:val="00E269E7"/>
    <w:rsid w:val="00E27113"/>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237D"/>
    <w:rsid w:val="00E32386"/>
    <w:rsid w:val="00E32608"/>
    <w:rsid w:val="00E326B3"/>
    <w:rsid w:val="00E32DA9"/>
    <w:rsid w:val="00E32F1B"/>
    <w:rsid w:val="00E33768"/>
    <w:rsid w:val="00E3397C"/>
    <w:rsid w:val="00E33987"/>
    <w:rsid w:val="00E34063"/>
    <w:rsid w:val="00E34188"/>
    <w:rsid w:val="00E341E5"/>
    <w:rsid w:val="00E34B6E"/>
    <w:rsid w:val="00E34DEC"/>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2E1"/>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496A"/>
    <w:rsid w:val="00E44B92"/>
    <w:rsid w:val="00E4502A"/>
    <w:rsid w:val="00E4515F"/>
    <w:rsid w:val="00E45323"/>
    <w:rsid w:val="00E45635"/>
    <w:rsid w:val="00E45771"/>
    <w:rsid w:val="00E45789"/>
    <w:rsid w:val="00E45C69"/>
    <w:rsid w:val="00E46394"/>
    <w:rsid w:val="00E46886"/>
    <w:rsid w:val="00E46F28"/>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579EF"/>
    <w:rsid w:val="00E60503"/>
    <w:rsid w:val="00E608A7"/>
    <w:rsid w:val="00E6098F"/>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4A6"/>
    <w:rsid w:val="00E66AAB"/>
    <w:rsid w:val="00E66CFD"/>
    <w:rsid w:val="00E671DA"/>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157"/>
    <w:rsid w:val="00E72487"/>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80334"/>
    <w:rsid w:val="00E80388"/>
    <w:rsid w:val="00E80616"/>
    <w:rsid w:val="00E806FE"/>
    <w:rsid w:val="00E80AB0"/>
    <w:rsid w:val="00E80E98"/>
    <w:rsid w:val="00E81145"/>
    <w:rsid w:val="00E8135A"/>
    <w:rsid w:val="00E81402"/>
    <w:rsid w:val="00E81CA4"/>
    <w:rsid w:val="00E81CC4"/>
    <w:rsid w:val="00E8234C"/>
    <w:rsid w:val="00E82974"/>
    <w:rsid w:val="00E829B1"/>
    <w:rsid w:val="00E82AEF"/>
    <w:rsid w:val="00E83160"/>
    <w:rsid w:val="00E83417"/>
    <w:rsid w:val="00E836D0"/>
    <w:rsid w:val="00E839EE"/>
    <w:rsid w:val="00E83AA9"/>
    <w:rsid w:val="00E83C27"/>
    <w:rsid w:val="00E84805"/>
    <w:rsid w:val="00E84E50"/>
    <w:rsid w:val="00E850AD"/>
    <w:rsid w:val="00E851F8"/>
    <w:rsid w:val="00E8529B"/>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8B"/>
    <w:rsid w:val="00E87BA0"/>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7CA"/>
    <w:rsid w:val="00E93AF3"/>
    <w:rsid w:val="00E93C40"/>
    <w:rsid w:val="00E93D6F"/>
    <w:rsid w:val="00E93FA4"/>
    <w:rsid w:val="00E93FFE"/>
    <w:rsid w:val="00E941BD"/>
    <w:rsid w:val="00E9459D"/>
    <w:rsid w:val="00E94F8A"/>
    <w:rsid w:val="00E957D7"/>
    <w:rsid w:val="00E96269"/>
    <w:rsid w:val="00E965DE"/>
    <w:rsid w:val="00E967F5"/>
    <w:rsid w:val="00E969CC"/>
    <w:rsid w:val="00E96DB3"/>
    <w:rsid w:val="00E97377"/>
    <w:rsid w:val="00E978B8"/>
    <w:rsid w:val="00E97AF4"/>
    <w:rsid w:val="00E97E9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3E"/>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830"/>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8EF"/>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4B38"/>
    <w:rsid w:val="00ED5095"/>
    <w:rsid w:val="00ED57CB"/>
    <w:rsid w:val="00ED5946"/>
    <w:rsid w:val="00ED5F24"/>
    <w:rsid w:val="00ED709A"/>
    <w:rsid w:val="00ED772B"/>
    <w:rsid w:val="00ED7D6E"/>
    <w:rsid w:val="00ED7E52"/>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ACC"/>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6E8"/>
    <w:rsid w:val="00EF5787"/>
    <w:rsid w:val="00EF5CF5"/>
    <w:rsid w:val="00EF5D59"/>
    <w:rsid w:val="00EF60D0"/>
    <w:rsid w:val="00EF6358"/>
    <w:rsid w:val="00EF6361"/>
    <w:rsid w:val="00EF6442"/>
    <w:rsid w:val="00EF64F9"/>
    <w:rsid w:val="00EF6566"/>
    <w:rsid w:val="00EF68A4"/>
    <w:rsid w:val="00EF68EB"/>
    <w:rsid w:val="00EF6B06"/>
    <w:rsid w:val="00EF6FE1"/>
    <w:rsid w:val="00EF7115"/>
    <w:rsid w:val="00EF7A2A"/>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3BCF"/>
    <w:rsid w:val="00F040C1"/>
    <w:rsid w:val="00F04E62"/>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971"/>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56"/>
    <w:rsid w:val="00F154AC"/>
    <w:rsid w:val="00F15ECD"/>
    <w:rsid w:val="00F15FA5"/>
    <w:rsid w:val="00F1601A"/>
    <w:rsid w:val="00F16231"/>
    <w:rsid w:val="00F16322"/>
    <w:rsid w:val="00F1646B"/>
    <w:rsid w:val="00F16C9F"/>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029"/>
    <w:rsid w:val="00F21C67"/>
    <w:rsid w:val="00F21E74"/>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5731"/>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F0C"/>
    <w:rsid w:val="00F32052"/>
    <w:rsid w:val="00F32099"/>
    <w:rsid w:val="00F326EE"/>
    <w:rsid w:val="00F3298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6E6"/>
    <w:rsid w:val="00F36CA3"/>
    <w:rsid w:val="00F36D64"/>
    <w:rsid w:val="00F36EA1"/>
    <w:rsid w:val="00F36F7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B36"/>
    <w:rsid w:val="00F47CBC"/>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9A4"/>
    <w:rsid w:val="00F54EA6"/>
    <w:rsid w:val="00F5512E"/>
    <w:rsid w:val="00F551D7"/>
    <w:rsid w:val="00F55853"/>
    <w:rsid w:val="00F55B24"/>
    <w:rsid w:val="00F55D20"/>
    <w:rsid w:val="00F565C4"/>
    <w:rsid w:val="00F56846"/>
    <w:rsid w:val="00F570E4"/>
    <w:rsid w:val="00F57977"/>
    <w:rsid w:val="00F60203"/>
    <w:rsid w:val="00F6033F"/>
    <w:rsid w:val="00F607C5"/>
    <w:rsid w:val="00F60990"/>
    <w:rsid w:val="00F60BEA"/>
    <w:rsid w:val="00F60DEA"/>
    <w:rsid w:val="00F60E2F"/>
    <w:rsid w:val="00F60EAD"/>
    <w:rsid w:val="00F60F49"/>
    <w:rsid w:val="00F612B6"/>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312"/>
    <w:rsid w:val="00F6351A"/>
    <w:rsid w:val="00F63950"/>
    <w:rsid w:val="00F63A90"/>
    <w:rsid w:val="00F6454D"/>
    <w:rsid w:val="00F64641"/>
    <w:rsid w:val="00F64AD2"/>
    <w:rsid w:val="00F64C2B"/>
    <w:rsid w:val="00F64F3E"/>
    <w:rsid w:val="00F650EA"/>
    <w:rsid w:val="00F651B3"/>
    <w:rsid w:val="00F651BE"/>
    <w:rsid w:val="00F6522A"/>
    <w:rsid w:val="00F656CE"/>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D3C"/>
    <w:rsid w:val="00F71E17"/>
    <w:rsid w:val="00F71F69"/>
    <w:rsid w:val="00F72285"/>
    <w:rsid w:val="00F7269B"/>
    <w:rsid w:val="00F72A02"/>
    <w:rsid w:val="00F72B56"/>
    <w:rsid w:val="00F72B72"/>
    <w:rsid w:val="00F72C23"/>
    <w:rsid w:val="00F733BC"/>
    <w:rsid w:val="00F73B86"/>
    <w:rsid w:val="00F73C29"/>
    <w:rsid w:val="00F7450D"/>
    <w:rsid w:val="00F74BB9"/>
    <w:rsid w:val="00F75582"/>
    <w:rsid w:val="00F75733"/>
    <w:rsid w:val="00F75833"/>
    <w:rsid w:val="00F75AD3"/>
    <w:rsid w:val="00F75E10"/>
    <w:rsid w:val="00F76150"/>
    <w:rsid w:val="00F76348"/>
    <w:rsid w:val="00F76876"/>
    <w:rsid w:val="00F769B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522"/>
    <w:rsid w:val="00F82727"/>
    <w:rsid w:val="00F82C50"/>
    <w:rsid w:val="00F83167"/>
    <w:rsid w:val="00F837DB"/>
    <w:rsid w:val="00F839CF"/>
    <w:rsid w:val="00F83F4C"/>
    <w:rsid w:val="00F841A5"/>
    <w:rsid w:val="00F842BC"/>
    <w:rsid w:val="00F84355"/>
    <w:rsid w:val="00F8456C"/>
    <w:rsid w:val="00F845AD"/>
    <w:rsid w:val="00F845C3"/>
    <w:rsid w:val="00F84916"/>
    <w:rsid w:val="00F84D64"/>
    <w:rsid w:val="00F84E76"/>
    <w:rsid w:val="00F85361"/>
    <w:rsid w:val="00F85700"/>
    <w:rsid w:val="00F85992"/>
    <w:rsid w:val="00F859D8"/>
    <w:rsid w:val="00F86005"/>
    <w:rsid w:val="00F860DE"/>
    <w:rsid w:val="00F861AF"/>
    <w:rsid w:val="00F8653B"/>
    <w:rsid w:val="00F86683"/>
    <w:rsid w:val="00F868F5"/>
    <w:rsid w:val="00F86C2B"/>
    <w:rsid w:val="00F86EAB"/>
    <w:rsid w:val="00F86F6B"/>
    <w:rsid w:val="00F87060"/>
    <w:rsid w:val="00F87185"/>
    <w:rsid w:val="00F871B4"/>
    <w:rsid w:val="00F8721F"/>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A9"/>
    <w:rsid w:val="00F94232"/>
    <w:rsid w:val="00F94326"/>
    <w:rsid w:val="00F94E90"/>
    <w:rsid w:val="00F94FCE"/>
    <w:rsid w:val="00F95061"/>
    <w:rsid w:val="00F95126"/>
    <w:rsid w:val="00F954DB"/>
    <w:rsid w:val="00F95649"/>
    <w:rsid w:val="00F956C2"/>
    <w:rsid w:val="00F95D9F"/>
    <w:rsid w:val="00F95FE8"/>
    <w:rsid w:val="00F9621F"/>
    <w:rsid w:val="00F96985"/>
    <w:rsid w:val="00F96E58"/>
    <w:rsid w:val="00F97348"/>
    <w:rsid w:val="00F974A2"/>
    <w:rsid w:val="00F9759F"/>
    <w:rsid w:val="00F977C9"/>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A7F90"/>
    <w:rsid w:val="00FB00E6"/>
    <w:rsid w:val="00FB0F15"/>
    <w:rsid w:val="00FB1C95"/>
    <w:rsid w:val="00FB2644"/>
    <w:rsid w:val="00FB2B93"/>
    <w:rsid w:val="00FB3A12"/>
    <w:rsid w:val="00FB3BE1"/>
    <w:rsid w:val="00FB3ECD"/>
    <w:rsid w:val="00FB3FE2"/>
    <w:rsid w:val="00FB416E"/>
    <w:rsid w:val="00FB44B1"/>
    <w:rsid w:val="00FB4C80"/>
    <w:rsid w:val="00FB52A1"/>
    <w:rsid w:val="00FB55BF"/>
    <w:rsid w:val="00FB58BD"/>
    <w:rsid w:val="00FB5B51"/>
    <w:rsid w:val="00FB5BF4"/>
    <w:rsid w:val="00FB5E23"/>
    <w:rsid w:val="00FB5EDE"/>
    <w:rsid w:val="00FB64FD"/>
    <w:rsid w:val="00FB686C"/>
    <w:rsid w:val="00FB69A0"/>
    <w:rsid w:val="00FB6A6A"/>
    <w:rsid w:val="00FB6F27"/>
    <w:rsid w:val="00FB704D"/>
    <w:rsid w:val="00FB759A"/>
    <w:rsid w:val="00FB7B35"/>
    <w:rsid w:val="00FB7F8B"/>
    <w:rsid w:val="00FC00EA"/>
    <w:rsid w:val="00FC02E6"/>
    <w:rsid w:val="00FC037A"/>
    <w:rsid w:val="00FC0475"/>
    <w:rsid w:val="00FC05EF"/>
    <w:rsid w:val="00FC0601"/>
    <w:rsid w:val="00FC079E"/>
    <w:rsid w:val="00FC07AC"/>
    <w:rsid w:val="00FC0CF7"/>
    <w:rsid w:val="00FC166B"/>
    <w:rsid w:val="00FC196D"/>
    <w:rsid w:val="00FC1B67"/>
    <w:rsid w:val="00FC244D"/>
    <w:rsid w:val="00FC24CE"/>
    <w:rsid w:val="00FC28F8"/>
    <w:rsid w:val="00FC2DF0"/>
    <w:rsid w:val="00FC33B8"/>
    <w:rsid w:val="00FC3CA8"/>
    <w:rsid w:val="00FC420A"/>
    <w:rsid w:val="00FC44B6"/>
    <w:rsid w:val="00FC48A4"/>
    <w:rsid w:val="00FC4C50"/>
    <w:rsid w:val="00FC4C8D"/>
    <w:rsid w:val="00FC4FDC"/>
    <w:rsid w:val="00FC5105"/>
    <w:rsid w:val="00FC5AA0"/>
    <w:rsid w:val="00FC5ADB"/>
    <w:rsid w:val="00FC5CE8"/>
    <w:rsid w:val="00FC61F5"/>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C8"/>
    <w:rsid w:val="00FD32FD"/>
    <w:rsid w:val="00FD3B17"/>
    <w:rsid w:val="00FD3E39"/>
    <w:rsid w:val="00FD3E72"/>
    <w:rsid w:val="00FD41D2"/>
    <w:rsid w:val="00FD456C"/>
    <w:rsid w:val="00FD47ED"/>
    <w:rsid w:val="00FD4AA7"/>
    <w:rsid w:val="00FD4B31"/>
    <w:rsid w:val="00FD5181"/>
    <w:rsid w:val="00FD521B"/>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297"/>
    <w:rsid w:val="00FE34B0"/>
    <w:rsid w:val="00FE367F"/>
    <w:rsid w:val="00FE37D7"/>
    <w:rsid w:val="00FE38C6"/>
    <w:rsid w:val="00FE3BA7"/>
    <w:rsid w:val="00FE3C59"/>
    <w:rsid w:val="00FE3DC1"/>
    <w:rsid w:val="00FE3DD1"/>
    <w:rsid w:val="00FE3E1F"/>
    <w:rsid w:val="00FE43AB"/>
    <w:rsid w:val="00FE4535"/>
    <w:rsid w:val="00FE476A"/>
    <w:rsid w:val="00FE4A20"/>
    <w:rsid w:val="00FE4A69"/>
    <w:rsid w:val="00FE4BB9"/>
    <w:rsid w:val="00FE4C7B"/>
    <w:rsid w:val="00FE5004"/>
    <w:rsid w:val="00FE5403"/>
    <w:rsid w:val="00FE5AD4"/>
    <w:rsid w:val="00FE5AEA"/>
    <w:rsid w:val="00FE5CFF"/>
    <w:rsid w:val="00FE5DFD"/>
    <w:rsid w:val="00FE5F2F"/>
    <w:rsid w:val="00FE673B"/>
    <w:rsid w:val="00FE676C"/>
    <w:rsid w:val="00FE6800"/>
    <w:rsid w:val="00FE6CD2"/>
    <w:rsid w:val="00FE7241"/>
    <w:rsid w:val="00FE7336"/>
    <w:rsid w:val="00FE761F"/>
    <w:rsid w:val="00FE7821"/>
    <w:rsid w:val="00FE787C"/>
    <w:rsid w:val="00FE7CC9"/>
    <w:rsid w:val="00FE7DB0"/>
    <w:rsid w:val="00FE7FF7"/>
    <w:rsid w:val="00FF0614"/>
    <w:rsid w:val="00FF07A5"/>
    <w:rsid w:val="00FF124C"/>
    <w:rsid w:val="00FF1D2F"/>
    <w:rsid w:val="00FF212B"/>
    <w:rsid w:val="00FF22F3"/>
    <w:rsid w:val="00FF2AE9"/>
    <w:rsid w:val="00FF2BDF"/>
    <w:rsid w:val="00FF2F56"/>
    <w:rsid w:val="00FF3475"/>
    <w:rsid w:val="00FF4137"/>
    <w:rsid w:val="00FF45A5"/>
    <w:rsid w:val="00FF4751"/>
    <w:rsid w:val="00FF47A5"/>
    <w:rsid w:val="00FF4CA1"/>
    <w:rsid w:val="00FF50C4"/>
    <w:rsid w:val="00FF5247"/>
    <w:rsid w:val="00FF5C91"/>
    <w:rsid w:val="00FF5D42"/>
    <w:rsid w:val="00FF5E2F"/>
    <w:rsid w:val="00FF6267"/>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36F29B2-64D5-4712-B73A-ED1A29C8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E7FCCE1-F135-4B91-9A10-0DA79CA81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329</TotalTime>
  <Pages>4</Pages>
  <Words>2044</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13674</CharactersWithSpaces>
  <SharedDoc>false</SharedDoc>
  <HyperlinkBase/>
  <HLinks>
    <vt:vector size="72" baseType="variant">
      <vt:variant>
        <vt:i4>1179704</vt:i4>
      </vt:variant>
      <vt:variant>
        <vt:i4>47</vt:i4>
      </vt:variant>
      <vt:variant>
        <vt:i4>0</vt:i4>
      </vt:variant>
      <vt:variant>
        <vt:i4>5</vt:i4>
      </vt:variant>
      <vt:variant>
        <vt:lpwstr/>
      </vt:variant>
      <vt:variant>
        <vt:lpwstr>_Toc165893586</vt:lpwstr>
      </vt:variant>
      <vt:variant>
        <vt:i4>1179704</vt:i4>
      </vt:variant>
      <vt:variant>
        <vt:i4>44</vt:i4>
      </vt:variant>
      <vt:variant>
        <vt:i4>0</vt:i4>
      </vt:variant>
      <vt:variant>
        <vt:i4>5</vt:i4>
      </vt:variant>
      <vt:variant>
        <vt:lpwstr/>
      </vt:variant>
      <vt:variant>
        <vt:lpwstr>_Toc165893585</vt:lpwstr>
      </vt:variant>
      <vt:variant>
        <vt:i4>1179704</vt:i4>
      </vt:variant>
      <vt:variant>
        <vt:i4>41</vt:i4>
      </vt:variant>
      <vt:variant>
        <vt:i4>0</vt:i4>
      </vt:variant>
      <vt:variant>
        <vt:i4>5</vt:i4>
      </vt:variant>
      <vt:variant>
        <vt:lpwstr/>
      </vt:variant>
      <vt:variant>
        <vt:lpwstr>_Toc165893584</vt:lpwstr>
      </vt:variant>
      <vt:variant>
        <vt:i4>1179704</vt:i4>
      </vt:variant>
      <vt:variant>
        <vt:i4>38</vt:i4>
      </vt:variant>
      <vt:variant>
        <vt:i4>0</vt:i4>
      </vt:variant>
      <vt:variant>
        <vt:i4>5</vt:i4>
      </vt:variant>
      <vt:variant>
        <vt:lpwstr/>
      </vt:variant>
      <vt:variant>
        <vt:lpwstr>_Toc165893583</vt:lpwstr>
      </vt:variant>
      <vt:variant>
        <vt:i4>1179704</vt:i4>
      </vt:variant>
      <vt:variant>
        <vt:i4>35</vt:i4>
      </vt:variant>
      <vt:variant>
        <vt:i4>0</vt:i4>
      </vt:variant>
      <vt:variant>
        <vt:i4>5</vt:i4>
      </vt:variant>
      <vt:variant>
        <vt:lpwstr/>
      </vt:variant>
      <vt:variant>
        <vt:lpwstr>_Toc165893582</vt:lpwstr>
      </vt:variant>
      <vt:variant>
        <vt:i4>1179704</vt:i4>
      </vt:variant>
      <vt:variant>
        <vt:i4>32</vt:i4>
      </vt:variant>
      <vt:variant>
        <vt:i4>0</vt:i4>
      </vt:variant>
      <vt:variant>
        <vt:i4>5</vt:i4>
      </vt:variant>
      <vt:variant>
        <vt:lpwstr/>
      </vt:variant>
      <vt:variant>
        <vt:lpwstr>_Toc165893581</vt:lpwstr>
      </vt:variant>
      <vt:variant>
        <vt:i4>1179704</vt:i4>
      </vt:variant>
      <vt:variant>
        <vt:i4>29</vt:i4>
      </vt:variant>
      <vt:variant>
        <vt:i4>0</vt:i4>
      </vt:variant>
      <vt:variant>
        <vt:i4>5</vt:i4>
      </vt:variant>
      <vt:variant>
        <vt:lpwstr/>
      </vt:variant>
      <vt:variant>
        <vt:lpwstr>_Toc165893580</vt:lpwstr>
      </vt:variant>
      <vt:variant>
        <vt:i4>1900600</vt:i4>
      </vt:variant>
      <vt:variant>
        <vt:i4>23</vt:i4>
      </vt:variant>
      <vt:variant>
        <vt:i4>0</vt:i4>
      </vt:variant>
      <vt:variant>
        <vt:i4>5</vt:i4>
      </vt:variant>
      <vt:variant>
        <vt:lpwstr/>
      </vt:variant>
      <vt:variant>
        <vt:lpwstr>_Toc165893579</vt:lpwstr>
      </vt:variant>
      <vt:variant>
        <vt:i4>1900600</vt:i4>
      </vt:variant>
      <vt:variant>
        <vt:i4>20</vt:i4>
      </vt:variant>
      <vt:variant>
        <vt:i4>0</vt:i4>
      </vt:variant>
      <vt:variant>
        <vt:i4>5</vt:i4>
      </vt:variant>
      <vt:variant>
        <vt:lpwstr/>
      </vt:variant>
      <vt:variant>
        <vt:lpwstr>_Toc165893578</vt:lpwstr>
      </vt:variant>
      <vt:variant>
        <vt:i4>1900600</vt:i4>
      </vt:variant>
      <vt:variant>
        <vt:i4>17</vt:i4>
      </vt:variant>
      <vt:variant>
        <vt:i4>0</vt:i4>
      </vt:variant>
      <vt:variant>
        <vt:i4>5</vt:i4>
      </vt:variant>
      <vt:variant>
        <vt:lpwstr/>
      </vt:variant>
      <vt:variant>
        <vt:lpwstr>_Toc165893577</vt:lpwstr>
      </vt:variant>
      <vt:variant>
        <vt:i4>1507376</vt:i4>
      </vt:variant>
      <vt:variant>
        <vt:i4>3</vt:i4>
      </vt:variant>
      <vt:variant>
        <vt:i4>0</vt:i4>
      </vt:variant>
      <vt:variant>
        <vt:i4>5</vt:i4>
      </vt:variant>
      <vt:variant>
        <vt:lpwstr/>
      </vt:variant>
      <vt:variant>
        <vt:lpwstr>_Toc146714679</vt:lpwstr>
      </vt:variant>
      <vt:variant>
        <vt:i4>1507376</vt:i4>
      </vt:variant>
      <vt:variant>
        <vt:i4>0</vt:i4>
      </vt:variant>
      <vt:variant>
        <vt:i4>0</vt:i4>
      </vt:variant>
      <vt:variant>
        <vt:i4>5</vt:i4>
      </vt:variant>
      <vt:variant>
        <vt:lpwstr/>
      </vt:variant>
      <vt:variant>
        <vt:lpwstr>_Toc146714676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143</cp:revision>
  <cp:lastPrinted>2008-02-02T22:09:00Z</cp:lastPrinted>
  <dcterms:created xsi:type="dcterms:W3CDTF">2024-04-05T16:56:00Z</dcterms:created>
  <dcterms:modified xsi:type="dcterms:W3CDTF">2024-05-10T08:45:00Z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